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drawing>
          <wp:inline xmlns:a="http://schemas.openxmlformats.org/drawingml/2006/main" xmlns:pic="http://schemas.openxmlformats.org/drawingml/2006/picture">
            <wp:extent cx="1800000" cy="445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loor-huntin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4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color w:val="3A2E28"/>
          <w:sz w:val="44"/>
        </w:rPr>
        <w:t>Fiche de poste type</w:t>
      </w:r>
    </w:p>
    <w:p>
      <w:pPr>
        <w:spacing w:after="200"/>
        <w:pBdr>
          <w:bottom w:val="single" w:sz="8" w:space="8" w:color="9C8B7E"/>
        </w:pBdr>
      </w:pPr>
      <w:r>
        <w:rPr>
          <w:color w:val="9C8B7E"/>
          <w:sz w:val="22"/>
        </w:rPr>
        <w:t>Un modèle pour décrire un poste supply chain avec précision, et attirer les bons profils.</w:t>
      </w:r>
    </w:p>
    <w:p>
      <w:pPr>
        <w:spacing w:after="40"/>
      </w:pPr>
    </w:p>
    <w:p>
      <w:r>
        <w:rPr>
          <w:b w:val="0"/>
          <w:color w:val="5E4D43"/>
          <w:sz w:val="20"/>
        </w:rPr>
        <w:t>Une fiche claire fait gagner du temps à tout le monde. Les candidats savent à quoi s'attendre, le manager et les RH parlent du même poste, et le recrutement avance plus vite. Complétez chaque rubrique en suivant les consignes en italique, puis supprimez-les avant diffusion.</w:t>
      </w:r>
    </w:p>
    <w:p>
      <w:r>
        <w:rPr>
          <w:b w:val="0"/>
          <w:color w:val="9C8B7E"/>
          <w:sz w:val="18"/>
        </w:rPr>
        <w:t>Un exemple rempli figure en fin de document.</w:t>
      </w:r>
    </w:p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01   </w:t>
      </w:r>
      <w:r>
        <w:rPr>
          <w:b/>
          <w:color w:val="3A2E28"/>
          <w:sz w:val="26"/>
        </w:rPr>
        <w:t>Intitulé du poste</w:t>
      </w:r>
    </w:p>
    <w:p>
      <w:pPr>
        <w:keepNext/>
      </w:pPr>
      <w:r>
        <w:rPr>
          <w:i/>
          <w:color w:val="9C8B7E"/>
          <w:sz w:val="18"/>
        </w:rPr>
        <w:t>Reprenez l'intitulé utilisé sur le marché (Approvisionneur, Supply Planner, Responsable transport...). Un intitulé maison peu connu réduit fortement le nombre de candidatures.</w:t>
      </w:r>
    </w:p>
    <w:p>
      <w:pPr>
        <w:spacing w:after="200"/>
        <w:pBdr>
          <w:bottom w:val="single" w:sz="4" w:space="1" w:color="D9D0C8"/>
        </w:pBdr>
      </w:pPr>
    </w:p>
    <w:p>
      <w:pPr>
        <w:spacing w:after="200"/>
        <w:pBdr>
          <w:bottom w:val="single" w:sz="4" w:space="1" w:color="D9D0C8"/>
        </w:pBdr>
      </w:pPr>
    </w:p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02   </w:t>
      </w:r>
      <w:r>
        <w:rPr>
          <w:b/>
          <w:color w:val="3A2E28"/>
          <w:sz w:val="26"/>
        </w:rPr>
        <w:t>Contexte et entreprise</w:t>
      </w:r>
    </w:p>
    <w:p>
      <w:pPr>
        <w:keepNext/>
      </w:pPr>
      <w:r>
        <w:rPr>
          <w:i/>
          <w:color w:val="9C8B7E"/>
          <w:sz w:val="18"/>
        </w:rPr>
        <w:t>Activité, taille, site, moment de vie de l'entreprise. Expliquez pourquoi le poste est ouvert : création, remplacement, réorganisation. C'est souvent ce qui donne envie de lire la suite.</w:t>
      </w:r>
    </w:p>
    <w:p>
      <w:pPr>
        <w:spacing w:after="200"/>
        <w:pBdr>
          <w:bottom w:val="single" w:sz="4" w:space="1" w:color="D9D0C8"/>
        </w:pBdr>
      </w:pPr>
    </w:p>
    <w:p>
      <w:pPr>
        <w:spacing w:after="200"/>
        <w:pBdr>
          <w:bottom w:val="single" w:sz="4" w:space="1" w:color="D9D0C8"/>
        </w:pBdr>
      </w:pPr>
    </w:p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03   </w:t>
      </w:r>
      <w:r>
        <w:rPr>
          <w:b/>
          <w:color w:val="3A2E28"/>
          <w:sz w:val="26"/>
        </w:rPr>
        <w:t>Rattachement et équipe</w:t>
      </w:r>
    </w:p>
    <w:p>
      <w:pPr>
        <w:keepNext/>
      </w:pPr>
      <w:r>
        <w:rPr>
          <w:i/>
          <w:color w:val="9C8B7E"/>
          <w:sz w:val="18"/>
        </w:rPr>
        <w:t>À qui le poste est rattaché, avec qui il travaille au quotidien (production, achats, ADV, transporteurs...), taille de l'équipe et éventuel management.</w:t>
      </w:r>
    </w:p>
    <w:p>
      <w:pPr>
        <w:spacing w:after="200"/>
        <w:pBdr>
          <w:bottom w:val="single" w:sz="4" w:space="1" w:color="D9D0C8"/>
        </w:pBdr>
      </w:pPr>
    </w:p>
    <w:p>
      <w:pPr>
        <w:spacing w:after="200"/>
        <w:pBdr>
          <w:bottom w:val="single" w:sz="4" w:space="1" w:color="D9D0C8"/>
        </w:pBdr>
      </w:pPr>
    </w:p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04   </w:t>
      </w:r>
      <w:r>
        <w:rPr>
          <w:b/>
          <w:color w:val="3A2E28"/>
          <w:sz w:val="26"/>
        </w:rPr>
        <w:t>Missions</w:t>
      </w:r>
    </w:p>
    <w:p>
      <w:pPr>
        <w:keepNext/>
      </w:pPr>
      <w:r>
        <w:rPr>
          <w:i/>
          <w:color w:val="9C8B7E"/>
          <w:sz w:val="18"/>
        </w:rPr>
        <w:t>Cinq à huit missions concrètes, en commençant par un verbe. Décrivez ce que la personne fera vraiment au quotidien, pas une liste exhaustive de tâches.</w:t>
      </w:r>
    </w:p>
    <w:p>
      <w:pPr>
        <w:spacing w:after="200"/>
        <w:pBdr>
          <w:bottom w:val="single" w:sz="4" w:space="1" w:color="D9D0C8"/>
        </w:pBdr>
      </w:pPr>
    </w:p>
    <w:p>
      <w:pPr>
        <w:spacing w:after="200"/>
        <w:pBdr>
          <w:bottom w:val="single" w:sz="4" w:space="1" w:color="D9D0C8"/>
        </w:pBdr>
      </w:pPr>
    </w:p>
    <w:p>
      <w:pPr>
        <w:spacing w:after="200"/>
        <w:pBdr>
          <w:bottom w:val="single" w:sz="4" w:space="1" w:color="D9D0C8"/>
        </w:pBdr>
      </w:pPr>
    </w:p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05   </w:t>
      </w:r>
      <w:r>
        <w:rPr>
          <w:b/>
          <w:color w:val="3A2E28"/>
          <w:sz w:val="26"/>
        </w:rPr>
        <w:t>Périmètre et indicateurs</w:t>
      </w:r>
    </w:p>
    <w:p>
      <w:pPr>
        <w:keepNext/>
      </w:pPr>
      <w:r>
        <w:rPr>
          <w:i/>
          <w:color w:val="9C8B7E"/>
          <w:sz w:val="18"/>
        </w:rPr>
        <w:t>Volumes, nombre de références, de fournisseurs ou de sites, budget géré. Précisez les indicateurs sur lesquels le poste sera évalué (taux de service, couverture de stock, OTIF...).</w:t>
      </w:r>
    </w:p>
    <w:p>
      <w:pPr>
        <w:spacing w:after="200"/>
        <w:pBdr>
          <w:bottom w:val="single" w:sz="4" w:space="1" w:color="D9D0C8"/>
        </w:pBdr>
      </w:pPr>
    </w:p>
    <w:p>
      <w:pPr>
        <w:spacing w:after="200"/>
        <w:pBdr>
          <w:bottom w:val="single" w:sz="4" w:space="1" w:color="D9D0C8"/>
        </w:pBdr>
      </w:pPr>
    </w:p>
    <w:p>
      <w:pPr>
        <w:spacing w:after="200"/>
        <w:pBdr>
          <w:bottom w:val="single" w:sz="4" w:space="1" w:color="D9D0C8"/>
        </w:pBdr>
      </w:pPr>
    </w:p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06   </w:t>
      </w:r>
      <w:r>
        <w:rPr>
          <w:b/>
          <w:color w:val="3A2E28"/>
          <w:sz w:val="26"/>
        </w:rPr>
        <w:t>Profil recherché</w:t>
      </w:r>
    </w:p>
    <w:p>
      <w:pPr>
        <w:keepNext/>
      </w:pPr>
      <w:r>
        <w:rPr>
          <w:i/>
          <w:color w:val="9C8B7E"/>
          <w:sz w:val="18"/>
        </w:rPr>
        <w:t>Séparez vraiment l'indispensable du souhaitable. Trop de critères indispensables font fuir de bons candidats qui auraient appris vite.</w:t>
      </w:r>
    </w:p>
    <w:p>
      <w:pPr>
        <w:keepNext/>
        <w:spacing w:before="160"/>
      </w:pPr>
      <w:r>
        <w:rPr>
          <w:b/>
          <w:color w:val="3A2E28"/>
          <w:sz w:val="21"/>
        </w:rPr>
        <w:t>Indispensables</w:t>
      </w:r>
    </w:p>
    <w:p>
      <w:pPr>
        <w:keepNext/>
      </w:pPr>
      <w:r>
        <w:rPr>
          <w:i/>
          <w:color w:val="9C8B7E"/>
          <w:sz w:val="18"/>
        </w:rPr>
        <w:t>Trois à cinq points maximum : expérience, compétence technique, outil incontournable.</w:t>
      </w:r>
    </w:p>
    <w:p>
      <w:pPr>
        <w:spacing w:after="200"/>
        <w:pBdr>
          <w:bottom w:val="single" w:sz="4" w:space="1" w:color="D9D0C8"/>
        </w:pBdr>
      </w:pPr>
    </w:p>
    <w:p>
      <w:pPr>
        <w:spacing w:after="200"/>
        <w:pBdr>
          <w:bottom w:val="single" w:sz="4" w:space="1" w:color="D9D0C8"/>
        </w:pBdr>
      </w:pPr>
    </w:p>
    <w:p>
      <w:pPr>
        <w:spacing w:after="200"/>
        <w:pBdr>
          <w:bottom w:val="single" w:sz="4" w:space="1" w:color="D9D0C8"/>
        </w:pBdr>
      </w:pPr>
    </w:p>
    <w:p>
      <w:pPr>
        <w:keepNext/>
        <w:spacing w:before="160"/>
      </w:pPr>
      <w:r>
        <w:rPr>
          <w:b/>
          <w:color w:val="3A2E28"/>
          <w:sz w:val="21"/>
        </w:rPr>
        <w:t>Souhaitables</w:t>
      </w:r>
    </w:p>
    <w:p>
      <w:pPr>
        <w:keepNext/>
      </w:pPr>
      <w:r>
        <w:rPr>
          <w:i/>
          <w:color w:val="9C8B7E"/>
          <w:sz w:val="18"/>
        </w:rPr>
        <w:t>Ce qui serait un plus : secteur, langue, certification, logiciel spécifique.</w:t>
      </w:r>
    </w:p>
    <w:p>
      <w:pPr>
        <w:spacing w:after="200"/>
        <w:pBdr>
          <w:bottom w:val="single" w:sz="4" w:space="1" w:color="D9D0C8"/>
        </w:pBdr>
      </w:pPr>
    </w:p>
    <w:p>
      <w:pPr>
        <w:spacing w:after="200"/>
        <w:pBdr>
          <w:bottom w:val="single" w:sz="4" w:space="1" w:color="D9D0C8"/>
        </w:pBdr>
      </w:pPr>
    </w:p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07   </w:t>
      </w:r>
      <w:r>
        <w:rPr>
          <w:b/>
          <w:color w:val="3A2E28"/>
          <w:sz w:val="26"/>
        </w:rPr>
        <w:t>Conditions</w:t>
      </w:r>
    </w:p>
    <w:p>
      <w:pPr>
        <w:keepNext/>
      </w:pPr>
      <w:r>
        <w:rPr>
          <w:i/>
          <w:color w:val="9C8B7E"/>
          <w:sz w:val="18"/>
        </w:rPr>
        <w:t>Une fourchette de rémunération affichée augmente nettement le nombre de candidatures qualifiées.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D9D0C8"/>
          <w:left w:val="single" w:sz="4" w:color="D9D0C8"/>
          <w:bottom w:val="single" w:sz="4" w:color="D9D0C8"/>
          <w:right w:val="single" w:sz="4" w:color="D9D0C8"/>
          <w:insideH w:val="single" w:sz="4" w:color="D9D0C8"/>
          <w:insideV w:val="single" w:sz="4" w:color="D9D0C8"/>
        </w:tblBorders>
        <w:tblW w:w="9412" w:type="dxa"/>
        <w:tblLayout w:type="fixed"/>
      </w:tblPr>
      <w:tblGrid>
        <w:gridCol w:w="2551"/>
        <w:gridCol w:w="6860"/>
      </w:tblGrid>
      <w:tr>
        <w:trPr>
          <w:tblHeader w:val="true"/>
        </w:trPr>
        <w:tc>
          <w:tcPr>
            <w:tcW w:type="dxa" w:w="2551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Élément</w:t>
            </w:r>
          </w:p>
        </w:tc>
        <w:tc>
          <w:tcPr>
            <w:tcW w:type="dxa" w:w="6860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À compléter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Rémunération</w:t>
            </w:r>
          </w:p>
        </w:tc>
        <w:tc>
          <w:tcPr>
            <w:tcW w:type="dxa" w:w="6860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Fixe : ........ k€ brut annuel  ·  Variable : ........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Avantages</w:t>
            </w:r>
          </w:p>
        </w:tc>
        <w:tc>
          <w:tcPr>
            <w:tcW w:type="dxa" w:w="6860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Mutuelle, tickets restaurant, intéressement, véhicule...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Statut</w:t>
            </w:r>
          </w:p>
        </w:tc>
        <w:tc>
          <w:tcPr>
            <w:tcW w:type="dxa" w:w="6860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Cadre / Agent de maîtrise  ·  CDI / CDD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Lieu</w:t>
            </w:r>
          </w:p>
        </w:tc>
        <w:tc>
          <w:tcPr>
            <w:tcW w:type="dxa" w:w="6860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Ville, site, déplacements éventuels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Télétravail</w:t>
            </w:r>
          </w:p>
        </w:tc>
        <w:tc>
          <w:tcPr>
            <w:tcW w:type="dxa" w:w="6860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Nombre de jours par semaine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Horaires</w:t>
            </w:r>
          </w:p>
        </w:tc>
        <w:tc>
          <w:tcPr>
            <w:tcW w:type="dxa" w:w="6860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Journée, équipe, astreintes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Prise de poste</w:t>
            </w:r>
          </w:p>
        </w:tc>
        <w:tc>
          <w:tcPr>
            <w:tcW w:type="dxa" w:w="6860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  <w:t>Date souhaitée</w:t>
            </w:r>
          </w:p>
        </w:tc>
      </w:tr>
    </w:tbl>
    <w:p/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9C8B7E"/>
          <w:sz w:val="26"/>
        </w:rPr>
        <w:t xml:space="preserve">08   </w:t>
      </w:r>
      <w:r>
        <w:rPr>
          <w:b/>
          <w:color w:val="3A2E28"/>
          <w:sz w:val="26"/>
        </w:rPr>
        <w:t>Process de recrutement</w:t>
      </w:r>
    </w:p>
    <w:p>
      <w:pPr>
        <w:keepNext/>
      </w:pPr>
      <w:r>
        <w:rPr>
          <w:i/>
          <w:color w:val="9C8B7E"/>
          <w:sz w:val="18"/>
        </w:rPr>
        <w:t>Annoncez les étapes et les délais. Un process clair et court rassure les candidats et limite les désistements.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D9D0C8"/>
          <w:left w:val="single" w:sz="4" w:color="D9D0C8"/>
          <w:bottom w:val="single" w:sz="4" w:color="D9D0C8"/>
          <w:right w:val="single" w:sz="4" w:color="D9D0C8"/>
          <w:insideH w:val="single" w:sz="4" w:color="D9D0C8"/>
          <w:insideV w:val="single" w:sz="4" w:color="D9D0C8"/>
        </w:tblBorders>
        <w:tblW w:w="9412" w:type="dxa"/>
        <w:tblLayout w:type="fixed"/>
      </w:tblPr>
      <w:tblGrid>
        <w:gridCol w:w="4025"/>
        <w:gridCol w:w="3118"/>
        <w:gridCol w:w="2268"/>
      </w:tblGrid>
      <w:tr>
        <w:trPr>
          <w:tblHeader w:val="true"/>
        </w:trPr>
        <w:tc>
          <w:tcPr>
            <w:tcW w:type="dxa" w:w="4025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Étape</w:t>
            </w:r>
          </w:p>
        </w:tc>
        <w:tc>
          <w:tcPr>
            <w:tcW w:type="dxa" w:w="3118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Avec qui</w:t>
            </w:r>
          </w:p>
        </w:tc>
        <w:tc>
          <w:tcPr>
            <w:tcW w:type="dxa" w:w="2268"/>
            <w:shd w:val="clear" w:color="auto" w:fill="F4EFEA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Délai indicatif</w:t>
            </w:r>
          </w:p>
        </w:tc>
      </w:tr>
      <w:tr>
        <w:trPr>
          <w:cantSplit w:val="true"/>
        </w:trPr>
        <w:tc>
          <w:tcPr>
            <w:tcW w:type="dxa" w:w="402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1. Échange de découverte</w:t>
            </w:r>
          </w:p>
        </w:tc>
        <w:tc>
          <w:tcPr>
            <w:tcW w:type="dxa" w:w="311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402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2. Entretien opérationnel</w:t>
            </w:r>
          </w:p>
        </w:tc>
        <w:tc>
          <w:tcPr>
            <w:tcW w:type="dxa" w:w="311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402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3. Rencontre de l'équipe ou cas pratique</w:t>
            </w:r>
          </w:p>
        </w:tc>
        <w:tc>
          <w:tcPr>
            <w:tcW w:type="dxa" w:w="311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4025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/>
                <w:i w:val="0"/>
                <w:color w:val="3A2E28"/>
                <w:sz w:val="18"/>
              </w:rPr>
              <w:t>4. Décision et proposition</w:t>
            </w:r>
          </w:p>
        </w:tc>
        <w:tc>
          <w:tcPr>
            <w:tcW w:type="dxa" w:w="311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  <w:tc>
          <w:tcPr>
            <w:tcW w:type="dxa" w:w="2268"/>
            <w:tcMar>
              <w:top w:w="100" w:type="dxa"/>
              <w:bottom w:w="100" w:type="dxa"/>
              <w:start w:w="140" w:type="dxa"/>
              <w:end w:w="140" w:type="dxa"/>
              <w:left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b w:val="0"/>
                <w:i w:val="0"/>
                <w:color w:val="5E4D43"/>
                <w:sz w:val="18"/>
              </w:rPr>
            </w:r>
          </w:p>
        </w:tc>
      </w:tr>
    </w:tbl>
    <w:p>
      <w:pPr>
        <w:pageBreakBefore/>
      </w:pPr>
    </w:p>
    <w:p>
      <w:pPr>
        <w:keepNext/>
        <w:spacing w:before="280" w:after="80"/>
        <w:pBdr>
          <w:bottom w:val="single" w:sz="4" w:space="3" w:color="9C8B7E"/>
        </w:pBdr>
      </w:pPr>
      <w:r>
        <w:rPr>
          <w:b/>
          <w:color w:val="3A2E28"/>
          <w:sz w:val="26"/>
        </w:rPr>
        <w:t>Exemple rempli : Approvisionneur en PME industrielle</w:t>
      </w:r>
    </w:p>
    <w:p>
      <w:pPr>
        <w:keepNext/>
      </w:pPr>
      <w:r>
        <w:rPr>
          <w:i/>
          <w:color w:val="9C8B7E"/>
          <w:sz w:val="18"/>
        </w:rPr>
        <w:t>Exemple fictif, à adapter à votre contexte.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9C8B7E"/>
          <w:left w:val="single" w:sz="4" w:color="9C8B7E"/>
          <w:bottom w:val="single" w:sz="4" w:color="9C8B7E"/>
          <w:right w:val="single" w:sz="4" w:color="9C8B7E"/>
          <w:insideH w:val="nil"/>
          <w:insideV w:val="nil"/>
        </w:tblBorders>
        <w:tblW w:w="9412" w:type="dxa"/>
        <w:tblLayout w:type="fixed"/>
      </w:tblPr>
      <w:tblGrid>
        <w:gridCol w:w="9412"/>
      </w:tblGrid>
      <w:tr>
        <w:tc>
          <w:tcPr>
            <w:tcW w:type="dxa" w:w="9411"/>
            <w:shd w:val="clear" w:color="auto" w:fill="F4EFEA"/>
            <w:tcMar>
              <w:top w:w="200" w:type="dxa"/>
              <w:bottom w:w="200" w:type="dxa"/>
              <w:start w:w="260" w:type="dxa"/>
              <w:end w:w="260" w:type="dxa"/>
              <w:left w:w="260" w:type="dxa"/>
              <w:right w:w="260" w:type="dxa"/>
            </w:tcMar>
          </w:tcPr>
          <w:p>
            <w:r/>
            <w:r>
              <w:rPr>
                <w:b/>
                <w:color w:val="3A2E28"/>
                <w:sz w:val="26"/>
              </w:rPr>
              <w:t>Approvisionneur (H/F)</w:t>
            </w:r>
          </w:p>
          <w:p>
            <w:pPr>
              <w:spacing w:before="120" w:after="40"/>
            </w:pPr>
            <w:r>
              <w:rPr>
                <w:b/>
                <w:color w:val="3A2E28"/>
                <w:sz w:val="20"/>
              </w:rPr>
              <w:t>Contexte et entreprise</w:t>
            </w:r>
          </w:p>
          <w:p>
            <w:pPr>
              <w:spacing w:after="40"/>
            </w:pPr>
            <w:r>
              <w:rPr>
                <w:color w:val="5E4D43"/>
                <w:sz w:val="19"/>
              </w:rPr>
              <w:t>PME industrielle d'environ 150 personnes, fabrication de sous-ensembles mécaniques pour l'agroéquipement. Croissance régulière depuis trois ans. Le poste est créé pour renforcer le service achats, qui gère aujourd'hui seul les achats et les approvisionnements.</w:t>
            </w:r>
          </w:p>
          <w:p>
            <w:pPr>
              <w:spacing w:before="120" w:after="40"/>
            </w:pPr>
            <w:r>
              <w:rPr>
                <w:b/>
                <w:color w:val="3A2E28"/>
                <w:sz w:val="20"/>
              </w:rPr>
              <w:t>Rattachement et équipe</w:t>
            </w:r>
          </w:p>
          <w:p>
            <w:pPr>
              <w:spacing w:after="40"/>
            </w:pPr>
            <w:r>
              <w:rPr>
                <w:color w:val="5E4D43"/>
                <w:sz w:val="19"/>
              </w:rPr>
              <w:t>Rattaché au Responsable achats. Travail quotidien avec la planification, la production, le magasin et le contrôle qualité. Pas de management.</w:t>
            </w:r>
          </w:p>
          <w:p>
            <w:pPr>
              <w:spacing w:before="120" w:after="40"/>
            </w:pPr>
            <w:r>
              <w:rPr>
                <w:b/>
                <w:color w:val="3A2E28"/>
                <w:sz w:val="20"/>
              </w:rPr>
              <w:t>Missions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Passer les commandes fournisseurs à partir des besoins calculés par l'ERP (MRP).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Suivre les délais et relancer les fournisseurs pour sécuriser les dates de livraison.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Anticiper les ruptures et alerter la production en cas de retard.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Ajuster les paramètres de réapprovisionnement : stocks de sécurité, lots, délais.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Traiter les litiges de livraison avec la qualité et la comptabilité.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Participer aux revues fournisseurs et proposer des pistes d'amélioration.</w:t>
            </w:r>
          </w:p>
          <w:p>
            <w:pPr>
              <w:spacing w:before="120" w:after="40"/>
            </w:pPr>
            <w:r>
              <w:rPr>
                <w:b/>
                <w:color w:val="3A2E28"/>
                <w:sz w:val="20"/>
              </w:rPr>
              <w:t>Périmètre et indicateurs</w:t>
            </w:r>
          </w:p>
          <w:p>
            <w:pPr>
              <w:spacing w:after="40"/>
            </w:pPr>
            <w:r>
              <w:rPr>
                <w:color w:val="5E4D43"/>
                <w:sz w:val="19"/>
              </w:rPr>
              <w:t>Environ 2 000 références actives, une soixantaine de fournisseurs, principalement en France et en Europe. Indicateurs suivis : taux de service à la production, taux de ruptures, couverture de stock, respect des délais fournisseurs.</w:t>
            </w:r>
          </w:p>
          <w:p>
            <w:pPr>
              <w:spacing w:before="120" w:after="40"/>
            </w:pPr>
            <w:r>
              <w:rPr>
                <w:b/>
                <w:color w:val="3A2E28"/>
                <w:sz w:val="20"/>
              </w:rPr>
              <w:t>Indispensables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Première expérience réussie en approvisionnement ou gestion des flux, en environnement industriel.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Pratique courante d'un ERP et d'Excel.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Rigueur, sens des priorités et aisance au téléphone.</w:t>
            </w:r>
          </w:p>
          <w:p>
            <w:pPr>
              <w:spacing w:before="120" w:after="40"/>
            </w:pPr>
            <w:r>
              <w:rPr>
                <w:b/>
                <w:color w:val="3A2E28"/>
                <w:sz w:val="20"/>
              </w:rPr>
              <w:t>Souhaitables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Connaissance de la mécanique ou de la sous-traitance.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Anglais professionnel.</w:t>
            </w:r>
          </w:p>
          <w:p>
            <w:pPr>
              <w:spacing w:before="120" w:after="40"/>
            </w:pPr>
            <w:r>
              <w:rPr>
                <w:b/>
                <w:color w:val="3A2E28"/>
                <w:sz w:val="20"/>
              </w:rPr>
              <w:t>Conditions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Rémunération : à compléter.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Statut : agent de maîtrise ou cadre selon profil, CDI.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Lieu : site de production, zone industrielle en périphérie de ville.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Télétravail : un jour par semaine après la période d'intégration.</w:t>
            </w:r>
          </w:p>
          <w:p>
            <w:pPr>
              <w:pStyle w:val="ListBullet"/>
              <w:spacing w:after="40"/>
            </w:pPr>
            <w:r>
              <w:rPr>
                <w:color w:val="5E4D43"/>
              </w:rPr>
              <w:t>Prise de poste : à compléter.</w:t>
            </w:r>
          </w:p>
          <w:p>
            <w:pPr>
              <w:spacing w:before="120" w:after="40"/>
            </w:pPr>
            <w:r>
              <w:rPr>
                <w:b/>
                <w:color w:val="3A2E28"/>
                <w:sz w:val="20"/>
              </w:rPr>
              <w:t>Process de recrutement</w:t>
            </w:r>
          </w:p>
          <w:p>
            <w:pPr>
              <w:spacing w:after="40"/>
            </w:pPr>
            <w:r>
              <w:rPr>
                <w:color w:val="5E4D43"/>
                <w:sz w:val="19"/>
              </w:rPr>
              <w:t>Échange avec Floor Hunting, entretien avec le Responsable achats, rencontre de l'équipe et visite d'atelier, décision sous dix jours.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020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9C8B7E"/>
        <w:sz w:val="16"/>
      </w:rPr>
      <w:t>Floor Hunting · Recrutement supply chain · floor-hunting.fr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5E4D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