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1800000" cy="445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loor-hunt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3A2E28"/>
          <w:sz w:val="44"/>
        </w:rPr>
        <w:t>Grille d'entretien structurée</w:t>
      </w:r>
    </w:p>
    <w:p>
      <w:pPr>
        <w:spacing w:after="200"/>
        <w:pBdr>
          <w:bottom w:val="single" w:sz="8" w:space="8" w:color="9C8B7E"/>
        </w:pBdr>
      </w:pPr>
      <w:r>
        <w:rPr>
          <w:color w:val="9C8B7E"/>
          <w:sz w:val="22"/>
        </w:rPr>
        <w:t>Évaluer chaque candidat sur les mêmes critères, pour comparer et décider sereinement.</w:t>
      </w:r>
    </w:p>
    <w:p>
      <w:pPr>
        <w:spacing w:after="40"/>
      </w:pPr>
    </w:p>
    <w:p>
      <w:r>
        <w:rPr>
          <w:b w:val="0"/>
          <w:color w:val="5E4D43"/>
          <w:sz w:val="20"/>
        </w:rPr>
        <w:t>Une grille commune limite les impressions de dernière minute et rend la décision plus juste. Choisissez les critères utiles au poste, posez les mêmes questions à chaque candidat et notez juste après l'entretien.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1417"/>
        <w:gridCol w:w="12927"/>
      </w:tblGrid>
      <w:tr>
        <w:trPr>
          <w:tblHeader w:val="true"/>
        </w:trPr>
        <w:tc>
          <w:tcPr>
            <w:tcW w:type="dxa" w:w="1417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</w:t>
            </w:r>
          </w:p>
        </w:tc>
        <w:tc>
          <w:tcPr>
            <w:tcW w:type="dxa" w:w="12926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Signification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1</w:t>
            </w:r>
          </w:p>
        </w:tc>
        <w:tc>
          <w:tcPr>
            <w:tcW w:type="dxa" w:w="12926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Insuffisant : pas d'exemple concret, réponse théorique ou hors sujet.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2</w:t>
            </w:r>
          </w:p>
        </w:tc>
        <w:tc>
          <w:tcPr>
            <w:tcW w:type="dxa" w:w="12926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Partiel : quelques éléments, mais peu d'autonomie ou de recul.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3</w:t>
            </w:r>
          </w:p>
        </w:tc>
        <w:tc>
          <w:tcPr>
            <w:tcW w:type="dxa" w:w="12926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Solide : exemples précis, méthode claire, résultats mesurés.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4</w:t>
            </w:r>
          </w:p>
        </w:tc>
        <w:tc>
          <w:tcPr>
            <w:tcW w:type="dxa" w:w="12926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Remarquable : maîtrise, recul, capacité à transmettre ou à améliorer.</w:t>
            </w:r>
          </w:p>
        </w:tc>
      </w:tr>
    </w:tbl>
    <w:p/>
    <w:p>
      <w:pPr>
        <w:keepNext/>
      </w:pPr>
      <w:r>
        <w:rPr>
          <w:i/>
          <w:color w:val="9C8B7E"/>
          <w:sz w:val="18"/>
        </w:rPr>
        <w:t>Candidat : ..........................................   Poste : ..........................................   Date : ............   Évaluateur : ..........................................</w:t>
      </w: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01   </w:t>
      </w:r>
      <w:r>
        <w:rPr>
          <w:b/>
          <w:color w:val="3A2E28"/>
          <w:sz w:val="26"/>
        </w:rPr>
        <w:t>Compétences supply chain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2268"/>
        <w:gridCol w:w="4195"/>
        <w:gridCol w:w="3912"/>
        <w:gridCol w:w="1304"/>
        <w:gridCol w:w="2664"/>
      </w:tblGrid>
      <w:tr>
        <w:trPr>
          <w:tblHeader w:val="true"/>
        </w:trPr>
        <w:tc>
          <w:tcPr>
            <w:tcW w:type="dxa" w:w="226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Critère</w:t>
            </w:r>
          </w:p>
        </w:tc>
        <w:tc>
          <w:tcPr>
            <w:tcW w:type="dxa" w:w="419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Questions à poser</w:t>
            </w:r>
          </w:p>
        </w:tc>
        <w:tc>
          <w:tcPr>
            <w:tcW w:type="dxa" w:w="391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Ce qu'on cherche à entendre</w:t>
            </w:r>
          </w:p>
        </w:tc>
        <w:tc>
          <w:tcPr>
            <w:tcW w:type="dxa" w:w="1304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 1 à 4</w:t>
            </w:r>
          </w:p>
        </w:tc>
        <w:tc>
          <w:tcPr>
            <w:tcW w:type="dxa" w:w="266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Commentaires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Pilotage des flux et des stocks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Comment fixez-vous un stock de sécurité ?</w:t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  <w:t>Racontez une rupture que vous avez vécue. Qu'avez-vous fait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 raisonnement chiffré (consommation, délai, variabilité), une action rapide, puis une correction durable des paramètres.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Planification et anticipation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Comment construisez-vous votre plan à plusieurs semaines ?</w:t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  <w:t>Que faites-vous quand la prévision s'écarte du réel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 horizon clair, des points de contrôle réguliers, des arbitrages partagés avec les ventes et la production.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Relation fournisseurs et transporteurs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 fournisseur livre en retard pour la troisième fois. Comment réagissez-vous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Des faits avant l'émotion, un plan d'action suivi, une relation ferme mais durable.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Outils et données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Quels ERP et outils utilisez-vous au quotidien ?</w:t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  <w:t>Quel tableau de bord avez-vous construit ou fait évoluer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Une pratique réelle de l'ERP, de l'aisance sur Excel, un usage concret des données pour décider.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Indicateurs et résultats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Sur quels indicateurs étiez-vous évalué ?</w:t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  <w:t>Quel résultat êtes-vous fier d'avoir obtenu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Des indicateurs nommés (taux de service, OTIF, couverture), un avant et un après, la part personnelle du candidat.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Amélioration continue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Décrivez un process que vous avez simplifié ou fiabilisé.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 constat de départ, une méthode, l'implication des équipes et un gain mesuré.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02   </w:t>
      </w:r>
      <w:r>
        <w:rPr>
          <w:b/>
          <w:color w:val="3A2E28"/>
          <w:sz w:val="26"/>
        </w:rPr>
        <w:t>Savoir-être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2268"/>
        <w:gridCol w:w="4195"/>
        <w:gridCol w:w="3912"/>
        <w:gridCol w:w="1304"/>
        <w:gridCol w:w="2664"/>
      </w:tblGrid>
      <w:tr>
        <w:trPr>
          <w:tblHeader w:val="true"/>
        </w:trPr>
        <w:tc>
          <w:tcPr>
            <w:tcW w:type="dxa" w:w="226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Critère</w:t>
            </w:r>
          </w:p>
        </w:tc>
        <w:tc>
          <w:tcPr>
            <w:tcW w:type="dxa" w:w="419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Questions à poser</w:t>
            </w:r>
          </w:p>
        </w:tc>
        <w:tc>
          <w:tcPr>
            <w:tcW w:type="dxa" w:w="391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Ce qu'on cherche à entendre</w:t>
            </w:r>
          </w:p>
        </w:tc>
        <w:tc>
          <w:tcPr>
            <w:tcW w:type="dxa" w:w="1304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 1 à 4</w:t>
            </w:r>
          </w:p>
        </w:tc>
        <w:tc>
          <w:tcPr>
            <w:tcW w:type="dxa" w:w="266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Commentaires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Gestion des priorités et de la pression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Racontez une journée où tout est arrivé en même temps.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Une hiérarchisation claire, du calme, une communication rapide aux personnes concernées.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Communication et transversalité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Comment faites-vous passer un message difficile à la production ou aux commerciaux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De l'écoute, des faits, la recherche d'une solution commune plutôt qu'un rapport de force.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Rigueur et fiabilité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Comment vous assurez-vous de ne rien oublier dans le suivi de vos dossiers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Une organisation personnelle concrète : outils de suivi, routines, contrôles.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Autonomie et prise d'initiative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Parlez d'une décision que vous avez prise sans attendre de validation.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Du discernement : savoir agir seul, et savoir quand remonter l'information.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Motivation pour le poste</w:t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Qu'est-ce qui vous attire dans ce poste et dans notre entreprise ?</w:t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  <w:t>Qu'attendez-vous de votre prochain manager ?</w:t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Des raisons précises et cohérentes avec le poste, une projection réaliste.</w:t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03   </w:t>
      </w:r>
      <w:r>
        <w:rPr>
          <w:b/>
          <w:color w:val="3A2E28"/>
          <w:sz w:val="26"/>
        </w:rPr>
        <w:t>Critères propres au poste</w:t>
      </w:r>
    </w:p>
    <w:p>
      <w:pPr>
        <w:keepNext/>
      </w:pPr>
      <w:r>
        <w:rPr>
          <w:i/>
          <w:color w:val="9C8B7E"/>
          <w:sz w:val="18"/>
        </w:rPr>
        <w:t>Ajoutez ici un ou deux critères spécifiques : langue, secteur, management, logiciel.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2268"/>
        <w:gridCol w:w="4195"/>
        <w:gridCol w:w="3912"/>
        <w:gridCol w:w="1304"/>
        <w:gridCol w:w="2664"/>
      </w:tblGrid>
      <w:tr>
        <w:trPr>
          <w:tblHeader w:val="true"/>
        </w:trPr>
        <w:tc>
          <w:tcPr>
            <w:tcW w:type="dxa" w:w="226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Critère</w:t>
            </w:r>
          </w:p>
        </w:tc>
        <w:tc>
          <w:tcPr>
            <w:tcW w:type="dxa" w:w="419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Questions à poser</w:t>
            </w:r>
          </w:p>
        </w:tc>
        <w:tc>
          <w:tcPr>
            <w:tcW w:type="dxa" w:w="391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Ce qu'on cherche à entendre</w:t>
            </w:r>
          </w:p>
        </w:tc>
        <w:tc>
          <w:tcPr>
            <w:tcW w:type="dxa" w:w="1304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 1 à 4</w:t>
            </w:r>
          </w:p>
        </w:tc>
        <w:tc>
          <w:tcPr>
            <w:tcW w:type="dxa" w:w="266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Commentaires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</w:r>
          </w:p>
        </w:tc>
        <w:tc>
          <w:tcPr>
            <w:tcW w:type="dxa" w:w="419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391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130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66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>
      <w:pPr>
        <w:pageBreakBefore/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04   </w:t>
      </w:r>
      <w:r>
        <w:rPr>
          <w:b/>
          <w:color w:val="3A2E28"/>
          <w:sz w:val="26"/>
        </w:rPr>
        <w:t>Synthèse et décision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3969"/>
        <w:gridCol w:w="1984"/>
        <w:gridCol w:w="8391"/>
      </w:tblGrid>
      <w:tr>
        <w:trPr>
          <w:tblHeader w:val="true"/>
        </w:trPr>
        <w:tc>
          <w:tcPr>
            <w:tcW w:type="dxa" w:w="3969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Bloc</w:t>
            </w:r>
          </w:p>
        </w:tc>
        <w:tc>
          <w:tcPr>
            <w:tcW w:type="dxa" w:w="1984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 moyenne</w:t>
            </w:r>
          </w:p>
        </w:tc>
        <w:tc>
          <w:tcPr>
            <w:tcW w:type="dxa" w:w="8391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Commentaire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Compétences supply chain</w:t>
            </w:r>
          </w:p>
        </w:tc>
        <w:tc>
          <w:tcPr>
            <w:tcW w:type="dxa" w:w="198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839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Savoir-être</w:t>
            </w:r>
          </w:p>
        </w:tc>
        <w:tc>
          <w:tcPr>
            <w:tcW w:type="dxa" w:w="198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839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Critères propres au poste</w:t>
            </w:r>
          </w:p>
        </w:tc>
        <w:tc>
          <w:tcPr>
            <w:tcW w:type="dxa" w:w="198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839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Note globale</w:t>
            </w:r>
          </w:p>
        </w:tc>
        <w:tc>
          <w:tcPr>
            <w:tcW w:type="dxa" w:w="1984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839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/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7172"/>
        <w:gridCol w:w="7172"/>
      </w:tblGrid>
      <w:tr>
        <w:trPr>
          <w:tblHeader w:val="true"/>
        </w:trPr>
        <w:tc>
          <w:tcPr>
            <w:tcW w:type="dxa" w:w="717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Points forts</w:t>
            </w:r>
          </w:p>
        </w:tc>
        <w:tc>
          <w:tcPr>
            <w:tcW w:type="dxa" w:w="717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Points de vigilance</w:t>
            </w:r>
          </w:p>
        </w:tc>
      </w:tr>
      <w:tr>
        <w:trPr>
          <w:cantSplit w:val="true"/>
        </w:trPr>
        <w:tc>
          <w:tcPr>
            <w:tcW w:type="dxa" w:w="717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717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  <w:p>
            <w:pPr>
              <w:spacing w:after="40"/>
            </w:pPr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/>
    <w:p>
      <w:pPr>
        <w:keepNext/>
        <w:spacing w:before="160"/>
      </w:pPr>
      <w:r>
        <w:rPr>
          <w:b/>
          <w:color w:val="3A2E28"/>
          <w:sz w:val="21"/>
        </w:rPr>
        <w:t>Éléments pratiques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14345" w:type="dxa"/>
        <w:tblLayout w:type="fixed"/>
      </w:tblPr>
      <w:tblGrid>
        <w:gridCol w:w="3572"/>
        <w:gridCol w:w="3572"/>
        <w:gridCol w:w="3628"/>
        <w:gridCol w:w="3572"/>
      </w:tblGrid>
      <w:tr>
        <w:trPr>
          <w:tblHeader w:val="true"/>
        </w:trPr>
        <w:tc>
          <w:tcPr>
            <w:tcW w:type="dxa" w:w="357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Prétentions salariales</w:t>
            </w:r>
          </w:p>
        </w:tc>
        <w:tc>
          <w:tcPr>
            <w:tcW w:type="dxa" w:w="357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Disponibilité / préavis</w:t>
            </w:r>
          </w:p>
        </w:tc>
        <w:tc>
          <w:tcPr>
            <w:tcW w:type="dxa" w:w="362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Autres process en cours</w:t>
            </w:r>
          </w:p>
        </w:tc>
        <w:tc>
          <w:tcPr>
            <w:tcW w:type="dxa" w:w="3572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Mobilité / télétravail</w:t>
            </w:r>
          </w:p>
        </w:tc>
      </w:tr>
      <w:tr>
        <w:trPr>
          <w:cantSplit w:val="true"/>
        </w:trPr>
        <w:tc>
          <w:tcPr>
            <w:tcW w:type="dxa" w:w="357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357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362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3572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/>
    <w:p>
      <w:pPr>
        <w:keepNext/>
        <w:spacing w:before="160"/>
      </w:pPr>
      <w:r>
        <w:rPr>
          <w:b/>
          <w:color w:val="3A2E28"/>
          <w:sz w:val="21"/>
        </w:rPr>
        <w:t>Décision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9C8B7E"/>
          <w:left w:val="single" w:sz="4" w:color="9C8B7E"/>
          <w:bottom w:val="single" w:sz="4" w:color="9C8B7E"/>
          <w:right w:val="single" w:sz="4" w:color="9C8B7E"/>
          <w:insideH w:val="nil"/>
          <w:insideV w:val="nil"/>
        </w:tblBorders>
        <w:tblW w:w="14345" w:type="dxa"/>
        <w:tblLayout w:type="fixed"/>
      </w:tblPr>
      <w:tblGrid>
        <w:gridCol w:w="14345"/>
      </w:tblGrid>
      <w:tr>
        <w:tc>
          <w:tcPr>
            <w:tcW w:type="dxa" w:w="14343"/>
            <w:shd w:val="clear" w:color="auto" w:fill="F4EFEA"/>
            <w:tcMar>
              <w:top w:w="200" w:type="dxa"/>
              <w:bottom w:w="200" w:type="dxa"/>
              <w:start w:w="260" w:type="dxa"/>
              <w:end w:w="260" w:type="dxa"/>
              <w:left w:w="260" w:type="dxa"/>
              <w:right w:w="260" w:type="dxa"/>
            </w:tcMar>
          </w:tcPr>
          <w:p>
            <w:r/>
            <w:r>
              <w:rPr>
                <w:b/>
                <w:color w:val="3A2E28"/>
              </w:rPr>
              <w:t>Avis de l'évaluateur</w:t>
            </w:r>
          </w:p>
          <w:p>
            <w:r>
              <w:rPr>
                <w:color w:val="5E4D43"/>
                <w:sz w:val="20"/>
              </w:rPr>
              <w:t>☐  Poursuivre : étape suivante du process</w:t>
            </w:r>
          </w:p>
          <w:p>
            <w:r>
              <w:rPr>
                <w:color w:val="5E4D43"/>
                <w:sz w:val="20"/>
              </w:rPr>
              <w:t>☐  En attente : à revoir après les autres entretiens</w:t>
            </w:r>
          </w:p>
          <w:p>
            <w:r>
              <w:rPr>
                <w:color w:val="5E4D43"/>
                <w:sz w:val="20"/>
              </w:rPr>
              <w:t>☐  Ne pas poursuivre : motif à communiquer au candidat</w:t>
            </w:r>
          </w:p>
          <w:p>
            <w:pPr>
              <w:spacing w:before="160"/>
            </w:pPr>
            <w:r>
              <w:rPr>
                <w:color w:val="5E4D43"/>
                <w:sz w:val="19"/>
              </w:rPr>
              <w:t>Prochaine étape et date : ......................................................................     Retour au candidat prévu le : ....................</w:t>
            </w:r>
          </w:p>
        </w:tc>
      </w:tr>
    </w:tbl>
    <w:p/>
    <w:p>
      <w:pPr>
        <w:keepNext/>
      </w:pPr>
      <w:r>
        <w:rPr>
          <w:i/>
          <w:color w:val="9C8B7E"/>
          <w:sz w:val="18"/>
        </w:rPr>
        <w:t>Conseil Floor Hunting : faites un retour au candidat sous quelques jours, quelle que soit la décision. C'est ce qui construit votre réputation d'employeur sur le marché.</w:t>
      </w:r>
    </w:p>
    <w:sectPr w:rsidR="00FC693F" w:rsidRPr="0006063C" w:rsidSect="00034616">
      <w:footerReference w:type="default" r:id="rId9"/>
      <w:pgSz w:w="16838" w:h="11906" w:orient="landscape"/>
      <w:pgMar w:top="1020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C8B7E"/>
        <w:sz w:val="16"/>
      </w:rPr>
      <w:t>Floor Hunting · Recrutement supply chain · floor-hunting.fr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5E4D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