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drawing>
          <wp:inline xmlns:a="http://schemas.openxmlformats.org/drawingml/2006/main" xmlns:pic="http://schemas.openxmlformats.org/drawingml/2006/picture">
            <wp:extent cx="1800000" cy="445500"/>
            <wp:docPr id="1" name="Picture 1"/>
            <wp:cNvGraphicFramePr>
              <a:graphicFrameLocks noChangeAspect="1"/>
            </wp:cNvGraphicFramePr>
            <a:graphic>
              <a:graphicData uri="http://schemas.openxmlformats.org/drawingml/2006/picture">
                <pic:pic>
                  <pic:nvPicPr>
                    <pic:cNvPr id="0" name="logo-floor-hunting.png"/>
                    <pic:cNvPicPr/>
                  </pic:nvPicPr>
                  <pic:blipFill>
                    <a:blip r:embed="rId10"/>
                    <a:stretch>
                      <a:fillRect/>
                    </a:stretch>
                  </pic:blipFill>
                  <pic:spPr>
                    <a:xfrm>
                      <a:off x="0" y="0"/>
                      <a:ext cx="1800000" cy="445500"/>
                    </a:xfrm>
                    <a:prstGeom prst="rect"/>
                  </pic:spPr>
                </pic:pic>
              </a:graphicData>
            </a:graphic>
          </wp:inline>
        </w:drawing>
      </w:r>
    </w:p>
    <w:p>
      <w:pPr>
        <w:spacing w:after="80"/>
      </w:pPr>
      <w:r>
        <w:rPr>
          <w:b/>
          <w:color w:val="3A2E28"/>
          <w:sz w:val="44"/>
        </w:rPr>
        <w:t>Plan d'intégration 90 jours</w:t>
      </w:r>
    </w:p>
    <w:p>
      <w:pPr>
        <w:spacing w:after="200"/>
        <w:pBdr>
          <w:bottom w:val="single" w:sz="8" w:space="8" w:color="9C8B7E"/>
        </w:pBdr>
      </w:pPr>
      <w:r>
        <w:rPr>
          <w:color w:val="9C8B7E"/>
          <w:sz w:val="22"/>
        </w:rPr>
        <w:t>Réussir l'arrivée d'un nouveau collaborateur supply chain, du premier jour à la fin de la période d'essai.</w:t>
      </w:r>
    </w:p>
    <w:p>
      <w:pPr>
        <w:spacing w:after="40"/>
      </w:pPr>
    </w:p>
    <w:p>
      <w:r>
        <w:rPr>
          <w:b w:val="0"/>
          <w:color w:val="5E4D43"/>
          <w:sz w:val="20"/>
        </w:rPr>
        <w:t>Les trois premiers mois décident souvent de la réussite d'un recrutement. Un plan écrit, partagé avec le nouvel arrivant dès son premier jour, lui donne des repères clairs et permet au manager de suivre sa progression sans surprise.</w:t>
      </w:r>
    </w:p>
    <w:tbl>
      <w:tblPr>
        <w:jc w:val="center"/>
        <w:tblLook w:firstColumn="1" w:firstRow="1" w:lastColumn="0" w:lastRow="0" w:noHBand="0" w:noVBand="1" w:val="04A0"/>
        <w:tblBorders>
          <w:top w:val="single" w:sz="4" w:color="D9D0C8"/>
          <w:left w:val="single" w:sz="4" w:color="D9D0C8"/>
          <w:bottom w:val="single" w:sz="4" w:color="D9D0C8"/>
          <w:right w:val="single" w:sz="4" w:color="D9D0C8"/>
          <w:insideH w:val="single" w:sz="4" w:color="D9D0C8"/>
          <w:insideV w:val="single" w:sz="4" w:color="D9D0C8"/>
        </w:tblBorders>
        <w:tblW w:w="9412" w:type="dxa"/>
        <w:tblLayout w:type="fixed"/>
      </w:tblPr>
      <w:tblGrid>
        <w:gridCol w:w="2041"/>
        <w:gridCol w:w="1871"/>
        <w:gridCol w:w="1814"/>
        <w:gridCol w:w="1871"/>
        <w:gridCol w:w="1814"/>
      </w:tblGrid>
      <w:tr>
        <w:trPr>
          <w:tblHeader w:val="true"/>
        </w:trPr>
        <w:tc>
          <w:tcPr>
            <w:tcW w:type="dxa" w:w="2041"/>
            <w:shd w:val="clear" w:color="auto" w:fill="F4EFEA"/>
            <w:tcMar>
              <w:top w:w="100" w:type="dxa"/>
              <w:bottom w:w="100" w:type="dxa"/>
              <w:start w:w="140" w:type="dxa"/>
              <w:end w:w="140" w:type="dxa"/>
              <w:left w:w="140" w:type="dxa"/>
              <w:right w:w="140" w:type="dxa"/>
            </w:tcMar>
          </w:tcPr>
          <w:p>
            <w:pPr>
              <w:spacing w:after="40"/>
            </w:pPr>
            <w:r/>
            <w:r>
              <w:rPr>
                <w:b/>
                <w:i w:val="0"/>
                <w:color w:val="3A2E28"/>
                <w:sz w:val="18"/>
              </w:rPr>
              <w:t>Nouveau collaborateur</w:t>
            </w:r>
          </w:p>
        </w:tc>
        <w:tc>
          <w:tcPr>
            <w:tcW w:type="dxa" w:w="1871"/>
            <w:shd w:val="clear" w:color="auto" w:fill="F4EFEA"/>
            <w:tcMar>
              <w:top w:w="100" w:type="dxa"/>
              <w:bottom w:w="100" w:type="dxa"/>
              <w:start w:w="140" w:type="dxa"/>
              <w:end w:w="140" w:type="dxa"/>
              <w:left w:w="140" w:type="dxa"/>
              <w:right w:w="140" w:type="dxa"/>
            </w:tcMar>
          </w:tcPr>
          <w:p>
            <w:pPr>
              <w:spacing w:after="40"/>
            </w:pPr>
            <w:r/>
            <w:r>
              <w:rPr>
                <w:b/>
                <w:i w:val="0"/>
                <w:color w:val="3A2E28"/>
                <w:sz w:val="18"/>
              </w:rPr>
              <w:t>Poste</w:t>
            </w:r>
          </w:p>
        </w:tc>
        <w:tc>
          <w:tcPr>
            <w:tcW w:type="dxa" w:w="1814"/>
            <w:shd w:val="clear" w:color="auto" w:fill="F4EFEA"/>
            <w:tcMar>
              <w:top w:w="100" w:type="dxa"/>
              <w:bottom w:w="100" w:type="dxa"/>
              <w:start w:w="140" w:type="dxa"/>
              <w:end w:w="140" w:type="dxa"/>
              <w:left w:w="140" w:type="dxa"/>
              <w:right w:w="140" w:type="dxa"/>
            </w:tcMar>
          </w:tcPr>
          <w:p>
            <w:pPr>
              <w:spacing w:after="40"/>
            </w:pPr>
            <w:r/>
            <w:r>
              <w:rPr>
                <w:b/>
                <w:i w:val="0"/>
                <w:color w:val="3A2E28"/>
                <w:sz w:val="18"/>
              </w:rPr>
              <w:t>Manager</w:t>
            </w:r>
          </w:p>
        </w:tc>
        <w:tc>
          <w:tcPr>
            <w:tcW w:type="dxa" w:w="1871"/>
            <w:shd w:val="clear" w:color="auto" w:fill="F4EFEA"/>
            <w:tcMar>
              <w:top w:w="100" w:type="dxa"/>
              <w:bottom w:w="100" w:type="dxa"/>
              <w:start w:w="140" w:type="dxa"/>
              <w:end w:w="140" w:type="dxa"/>
              <w:left w:w="140" w:type="dxa"/>
              <w:right w:w="140" w:type="dxa"/>
            </w:tcMar>
          </w:tcPr>
          <w:p>
            <w:pPr>
              <w:spacing w:after="40"/>
            </w:pPr>
            <w:r/>
            <w:r>
              <w:rPr>
                <w:b/>
                <w:i w:val="0"/>
                <w:color w:val="3A2E28"/>
                <w:sz w:val="18"/>
              </w:rPr>
              <w:t>Parrain ou marraine</w:t>
            </w:r>
          </w:p>
        </w:tc>
        <w:tc>
          <w:tcPr>
            <w:tcW w:type="dxa" w:w="1814"/>
            <w:shd w:val="clear" w:color="auto" w:fill="F4EFEA"/>
            <w:tcMar>
              <w:top w:w="100" w:type="dxa"/>
              <w:bottom w:w="100" w:type="dxa"/>
              <w:start w:w="140" w:type="dxa"/>
              <w:end w:w="140" w:type="dxa"/>
              <w:left w:w="140" w:type="dxa"/>
              <w:right w:w="140" w:type="dxa"/>
            </w:tcMar>
          </w:tcPr>
          <w:p>
            <w:pPr>
              <w:spacing w:after="40"/>
            </w:pPr>
            <w:r/>
            <w:r>
              <w:rPr>
                <w:b/>
                <w:i w:val="0"/>
                <w:color w:val="3A2E28"/>
                <w:sz w:val="18"/>
              </w:rPr>
              <w:t>Date d'arrivée</w:t>
            </w:r>
          </w:p>
        </w:tc>
      </w:tr>
      <w:tr>
        <w:trPr>
          <w:cantSplit w:val="true"/>
        </w:trPr>
        <w:tc>
          <w:tcPr>
            <w:tcW w:type="dxa" w:w="2041"/>
            <w:tcMar>
              <w:top w:w="100" w:type="dxa"/>
              <w:bottom w:w="100" w:type="dxa"/>
              <w:start w:w="140" w:type="dxa"/>
              <w:end w:w="140" w:type="dxa"/>
              <w:left w:w="140" w:type="dxa"/>
              <w:right w:w="140" w:type="dxa"/>
            </w:tcMar>
          </w:tcPr>
          <w:p>
            <w:pPr>
              <w:spacing w:after="40"/>
            </w:pPr>
            <w:r/>
            <w:r>
              <w:rPr>
                <w:b w:val="0"/>
                <w:i w:val="0"/>
                <w:color w:val="5E4D43"/>
                <w:sz w:val="18"/>
              </w:rPr>
            </w:r>
          </w:p>
        </w:tc>
        <w:tc>
          <w:tcPr>
            <w:tcW w:type="dxa" w:w="1871"/>
            <w:tcMar>
              <w:top w:w="100" w:type="dxa"/>
              <w:bottom w:w="100" w:type="dxa"/>
              <w:start w:w="140" w:type="dxa"/>
              <w:end w:w="140" w:type="dxa"/>
              <w:left w:w="140" w:type="dxa"/>
              <w:right w:w="140" w:type="dxa"/>
            </w:tcMar>
          </w:tcPr>
          <w:p>
            <w:pPr>
              <w:spacing w:after="40"/>
            </w:pPr>
            <w:r/>
            <w:r>
              <w:rPr>
                <w:b w:val="0"/>
                <w:i w:val="0"/>
                <w:color w:val="5E4D43"/>
                <w:sz w:val="18"/>
              </w:rPr>
            </w:r>
          </w:p>
        </w:tc>
        <w:tc>
          <w:tcPr>
            <w:tcW w:type="dxa" w:w="1814"/>
            <w:tcMar>
              <w:top w:w="100" w:type="dxa"/>
              <w:bottom w:w="100" w:type="dxa"/>
              <w:start w:w="140" w:type="dxa"/>
              <w:end w:w="140" w:type="dxa"/>
              <w:left w:w="140" w:type="dxa"/>
              <w:right w:w="140" w:type="dxa"/>
            </w:tcMar>
          </w:tcPr>
          <w:p>
            <w:pPr>
              <w:spacing w:after="40"/>
            </w:pPr>
            <w:r/>
            <w:r>
              <w:rPr>
                <w:b w:val="0"/>
                <w:i w:val="0"/>
                <w:color w:val="5E4D43"/>
                <w:sz w:val="18"/>
              </w:rPr>
            </w:r>
          </w:p>
        </w:tc>
        <w:tc>
          <w:tcPr>
            <w:tcW w:type="dxa" w:w="1871"/>
            <w:tcMar>
              <w:top w:w="100" w:type="dxa"/>
              <w:bottom w:w="100" w:type="dxa"/>
              <w:start w:w="140" w:type="dxa"/>
              <w:end w:w="140" w:type="dxa"/>
              <w:left w:w="140" w:type="dxa"/>
              <w:right w:w="140" w:type="dxa"/>
            </w:tcMar>
          </w:tcPr>
          <w:p>
            <w:pPr>
              <w:spacing w:after="40"/>
            </w:pPr>
            <w:r/>
            <w:r>
              <w:rPr>
                <w:b w:val="0"/>
                <w:i w:val="0"/>
                <w:color w:val="5E4D43"/>
                <w:sz w:val="18"/>
              </w:rPr>
            </w:r>
          </w:p>
        </w:tc>
        <w:tc>
          <w:tcPr>
            <w:tcW w:type="dxa" w:w="1814"/>
            <w:tcMar>
              <w:top w:w="100" w:type="dxa"/>
              <w:bottom w:w="100" w:type="dxa"/>
              <w:start w:w="140" w:type="dxa"/>
              <w:end w:w="140" w:type="dxa"/>
              <w:left w:w="140" w:type="dxa"/>
              <w:right w:w="140" w:type="dxa"/>
            </w:tcMar>
          </w:tcPr>
          <w:p>
            <w:pPr>
              <w:spacing w:after="40"/>
            </w:pPr>
            <w:r/>
            <w:r>
              <w:rPr>
                <w:b w:val="0"/>
                <w:i w:val="0"/>
                <w:color w:val="5E4D43"/>
                <w:sz w:val="18"/>
              </w:rPr>
            </w:r>
          </w:p>
        </w:tc>
      </w:tr>
    </w:tbl>
    <w:p>
      <w:pPr>
        <w:keepNext/>
        <w:spacing w:before="280" w:after="80"/>
        <w:pBdr>
          <w:bottom w:val="single" w:sz="4" w:space="3" w:color="9C8B7E"/>
        </w:pBdr>
      </w:pPr>
      <w:r>
        <w:rPr>
          <w:b/>
          <w:color w:val="9C8B7E"/>
          <w:sz w:val="26"/>
        </w:rPr>
        <w:t xml:space="preserve">00   </w:t>
      </w:r>
      <w:r>
        <w:rPr>
          <w:b/>
          <w:color w:val="3A2E28"/>
          <w:sz w:val="26"/>
        </w:rPr>
        <w:t>Avant l'arrivée</w:t>
      </w:r>
    </w:p>
    <w:p>
      <w:pPr>
        <w:pStyle w:val="ListBullet"/>
        <w:spacing w:after="40"/>
      </w:pPr>
      <w:r>
        <w:rPr>
          <w:color w:val="5E4D43"/>
        </w:rPr>
        <w:t>Envoyer un message de bienvenue avec le programme de la première semaine.</w:t>
      </w:r>
    </w:p>
    <w:p>
      <w:pPr>
        <w:pStyle w:val="ListBullet"/>
        <w:spacing w:after="40"/>
      </w:pPr>
      <w:r>
        <w:rPr>
          <w:color w:val="5E4D43"/>
        </w:rPr>
        <w:t>Préparer le poste de travail, les accès ERP, messagerie et outils métier.</w:t>
      </w:r>
    </w:p>
    <w:p>
      <w:pPr>
        <w:pStyle w:val="ListBullet"/>
        <w:spacing w:after="40"/>
      </w:pPr>
      <w:r>
        <w:rPr>
          <w:color w:val="5E4D43"/>
        </w:rPr>
        <w:t>Désigner un parrain ou une marraine dans l'équipe.</w:t>
      </w:r>
    </w:p>
    <w:p>
      <w:pPr>
        <w:pStyle w:val="ListBullet"/>
        <w:spacing w:after="40"/>
      </w:pPr>
      <w:r>
        <w:rPr>
          <w:color w:val="5E4D43"/>
        </w:rPr>
        <w:t>Prévenir les services avec lesquels le poste travaillera : production, achats, ADV, magasin, transport.</w:t>
      </w:r>
    </w:p>
    <w:p>
      <w:pPr>
        <w:pStyle w:val="ListBullet"/>
        <w:spacing w:after="40"/>
      </w:pPr>
      <w:r>
        <w:rPr>
          <w:color w:val="5E4D43"/>
        </w:rPr>
        <w:t>Bloquer dans les agendas les rendez-vous des deux premières semaines.</w:t>
      </w:r>
    </w:p>
    <w:p>
      <w:pPr>
        <w:keepNext/>
        <w:spacing w:before="280" w:after="80"/>
        <w:pBdr>
          <w:bottom w:val="single" w:sz="4" w:space="3" w:color="9C8B7E"/>
        </w:pBdr>
      </w:pPr>
      <w:r>
        <w:rPr>
          <w:b/>
          <w:color w:val="9C8B7E"/>
          <w:sz w:val="26"/>
        </w:rPr>
        <w:t xml:space="preserve">01   </w:t>
      </w:r>
      <w:r>
        <w:rPr>
          <w:b/>
          <w:color w:val="3A2E28"/>
          <w:sz w:val="26"/>
        </w:rPr>
        <w:t>Phase 1 · J1 à J30 : découvrir et comprendre</w:t>
      </w:r>
    </w:p>
    <w:p>
      <w:pPr>
        <w:keepNext/>
        <w:spacing w:before="160"/>
      </w:pPr>
      <w:r>
        <w:rPr>
          <w:b/>
          <w:color w:val="3A2E28"/>
          <w:sz w:val="21"/>
        </w:rPr>
        <w:t>Objectifs</w:t>
      </w:r>
    </w:p>
    <w:p>
      <w:pPr>
        <w:pStyle w:val="ListBullet"/>
        <w:spacing w:after="40"/>
      </w:pPr>
      <w:r>
        <w:rPr>
          <w:color w:val="5E4D43"/>
        </w:rPr>
        <w:t>Comprendre l'entreprise, ses produits, ses clients et ses flux de bout en bout.</w:t>
      </w:r>
    </w:p>
    <w:p>
      <w:pPr>
        <w:pStyle w:val="ListBullet"/>
        <w:spacing w:after="40"/>
      </w:pPr>
      <w:r>
        <w:rPr>
          <w:color w:val="5E4D43"/>
        </w:rPr>
        <w:t>Prendre en main l'ERP et les outils du poste.</w:t>
      </w:r>
    </w:p>
    <w:p>
      <w:pPr>
        <w:pStyle w:val="ListBullet"/>
        <w:spacing w:after="40"/>
      </w:pPr>
      <w:r>
        <w:rPr>
          <w:color w:val="5E4D43"/>
        </w:rPr>
        <w:t>Identifier les interlocuteurs clés, en interne et en externe.</w:t>
      </w:r>
    </w:p>
    <w:p>
      <w:pPr>
        <w:keepNext/>
        <w:spacing w:before="160"/>
      </w:pPr>
      <w:r>
        <w:rPr>
          <w:b/>
          <w:color w:val="3A2E28"/>
          <w:sz w:val="21"/>
        </w:rPr>
        <w:t>Actions</w:t>
      </w:r>
    </w:p>
    <w:tbl>
      <w:tblPr>
        <w:jc w:val="center"/>
        <w:tblLook w:firstColumn="1" w:firstRow="1" w:lastColumn="0" w:lastRow="0" w:noHBand="0" w:noVBand="1" w:val="04A0"/>
        <w:tblBorders>
          <w:top w:val="single" w:sz="4" w:color="D9D0C8"/>
          <w:left w:val="single" w:sz="4" w:color="D9D0C8"/>
          <w:bottom w:val="single" w:sz="4" w:color="D9D0C8"/>
          <w:right w:val="single" w:sz="4" w:color="D9D0C8"/>
          <w:insideH w:val="single" w:sz="4" w:color="D9D0C8"/>
          <w:insideV w:val="single" w:sz="4" w:color="D9D0C8"/>
        </w:tblBorders>
        <w:tblW w:w="9412" w:type="dxa"/>
        <w:tblLayout w:type="fixed"/>
      </w:tblPr>
      <w:tblGrid>
        <w:gridCol w:w="4876"/>
        <w:gridCol w:w="2041"/>
        <w:gridCol w:w="1701"/>
        <w:gridCol w:w="793"/>
      </w:tblGrid>
      <w:tr>
        <w:trPr>
          <w:tblHeader w:val="true"/>
        </w:trPr>
        <w:tc>
          <w:tcPr>
            <w:tcW w:type="dxa" w:w="4876"/>
            <w:shd w:val="clear" w:color="auto" w:fill="F4EFEA"/>
            <w:tcMar>
              <w:top w:w="100" w:type="dxa"/>
              <w:bottom w:w="100" w:type="dxa"/>
              <w:start w:w="140" w:type="dxa"/>
              <w:end w:w="140" w:type="dxa"/>
              <w:left w:w="140" w:type="dxa"/>
              <w:right w:w="140" w:type="dxa"/>
            </w:tcMar>
          </w:tcPr>
          <w:p>
            <w:pPr>
              <w:spacing w:after="40"/>
            </w:pPr>
            <w:r/>
            <w:r>
              <w:rPr>
                <w:b/>
                <w:i w:val="0"/>
                <w:color w:val="3A2E28"/>
                <w:sz w:val="18"/>
              </w:rPr>
              <w:t>Action</w:t>
            </w:r>
          </w:p>
        </w:tc>
        <w:tc>
          <w:tcPr>
            <w:tcW w:type="dxa" w:w="2041"/>
            <w:shd w:val="clear" w:color="auto" w:fill="F4EFEA"/>
            <w:tcMar>
              <w:top w:w="100" w:type="dxa"/>
              <w:bottom w:w="100" w:type="dxa"/>
              <w:start w:w="140" w:type="dxa"/>
              <w:end w:w="140" w:type="dxa"/>
              <w:left w:w="140" w:type="dxa"/>
              <w:right w:w="140" w:type="dxa"/>
            </w:tcMar>
          </w:tcPr>
          <w:p>
            <w:pPr>
              <w:spacing w:after="40"/>
            </w:pPr>
            <w:r/>
            <w:r>
              <w:rPr>
                <w:b/>
                <w:i w:val="0"/>
                <w:color w:val="3A2E28"/>
                <w:sz w:val="18"/>
              </w:rPr>
              <w:t>Responsable</w:t>
            </w:r>
          </w:p>
        </w:tc>
        <w:tc>
          <w:tcPr>
            <w:tcW w:type="dxa" w:w="1701"/>
            <w:shd w:val="clear" w:color="auto" w:fill="F4EFEA"/>
            <w:tcMar>
              <w:top w:w="100" w:type="dxa"/>
              <w:bottom w:w="100" w:type="dxa"/>
              <w:start w:w="140" w:type="dxa"/>
              <w:end w:w="140" w:type="dxa"/>
              <w:left w:w="140" w:type="dxa"/>
              <w:right w:w="140" w:type="dxa"/>
            </w:tcMar>
          </w:tcPr>
          <w:p>
            <w:pPr>
              <w:spacing w:after="40"/>
            </w:pPr>
            <w:r/>
            <w:r>
              <w:rPr>
                <w:b/>
                <w:i w:val="0"/>
                <w:color w:val="3A2E28"/>
                <w:sz w:val="18"/>
              </w:rPr>
              <w:t>Quand</w:t>
            </w:r>
          </w:p>
        </w:tc>
        <w:tc>
          <w:tcPr>
            <w:tcW w:type="dxa" w:w="794"/>
            <w:shd w:val="clear" w:color="auto" w:fill="F4EFEA"/>
            <w:tcMar>
              <w:top w:w="100" w:type="dxa"/>
              <w:bottom w:w="100" w:type="dxa"/>
              <w:start w:w="140" w:type="dxa"/>
              <w:end w:w="140" w:type="dxa"/>
              <w:left w:w="140" w:type="dxa"/>
              <w:right w:w="140" w:type="dxa"/>
            </w:tcMar>
          </w:tcPr>
          <w:p>
            <w:pPr>
              <w:spacing w:after="40"/>
            </w:pPr>
            <w:r/>
            <w:r>
              <w:rPr>
                <w:b/>
                <w:i w:val="0"/>
                <w:color w:val="3A2E28"/>
                <w:sz w:val="18"/>
              </w:rPr>
              <w:t>Fait</w:t>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Visite complète du site : réception, stockage, production, expédition</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Manager</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 1</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Rencontres individuelles avec chaque service en interface</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Nouvel arrivant</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Semaines 1 et 2</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Formation ERP et outils, avec mise en pratique accompagnée</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Référent ERP</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Semaines 1 à 3</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Binôme avec le parrain sur les tâches courantes</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Parrain</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Semaines 1 à 4</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Lecture des indicateurs et tableaux de bord du service</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Manager</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 3</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bl>
    <w:p>
      <w:pPr>
        <w:spacing w:after="0"/>
      </w:pPr>
    </w:p>
    <w:tbl>
      <w:tblPr>
        <w:jc w:val="center"/>
        <w:tblLook w:firstColumn="1" w:firstRow="1" w:lastColumn="0" w:lastRow="0" w:noHBand="0" w:noVBand="1" w:val="04A0"/>
        <w:tblBorders>
          <w:top w:val="single" w:sz="4" w:color="9C8B7E"/>
          <w:left w:val="single" w:sz="4" w:color="9C8B7E"/>
          <w:bottom w:val="single" w:sz="4" w:color="9C8B7E"/>
          <w:right w:val="single" w:sz="4" w:color="9C8B7E"/>
          <w:insideH w:val="nil"/>
          <w:insideV w:val="nil"/>
        </w:tblBorders>
        <w:tblW w:w="9412" w:type="dxa"/>
        <w:tblLayout w:type="fixed"/>
      </w:tblPr>
      <w:tblGrid>
        <w:gridCol w:w="9412"/>
      </w:tblGrid>
      <w:tr>
        <w:tc>
          <w:tcPr>
            <w:tcW w:type="dxa" w:w="9411"/>
            <w:shd w:val="clear" w:color="auto" w:fill="F4EFEA"/>
            <w:tcMar>
              <w:top w:w="200" w:type="dxa"/>
              <w:bottom w:w="200" w:type="dxa"/>
              <w:start w:w="260" w:type="dxa"/>
              <w:end w:w="260" w:type="dxa"/>
              <w:left w:w="260" w:type="dxa"/>
              <w:right w:w="260" w:type="dxa"/>
            </w:tcMar>
          </w:tcPr>
          <w:p>
            <w:r/>
            <w:r>
              <w:rPr>
                <w:b/>
                <w:color w:val="3A2E28"/>
                <w:sz w:val="19"/>
              </w:rPr>
              <w:t>Point d'étape à J30 : premières impressions, questions ouvertes, besoins de formation complémentaires.</w:t>
            </w:r>
          </w:p>
          <w:p>
            <w:pPr>
              <w:spacing w:before="120"/>
            </w:pPr>
            <w:r>
              <w:rPr>
                <w:color w:val="5E4D43"/>
                <w:sz w:val="18"/>
              </w:rPr>
              <w:t>Date : ..................     Notes : ......................................................................................</w:t>
            </w:r>
          </w:p>
        </w:tc>
      </w:tr>
    </w:tbl>
    <w:p/>
    <w:p>
      <w:pPr>
        <w:keepNext/>
        <w:spacing w:before="280" w:after="80"/>
        <w:pBdr>
          <w:bottom w:val="single" w:sz="4" w:space="3" w:color="9C8B7E"/>
        </w:pBdr>
      </w:pPr>
      <w:r>
        <w:rPr>
          <w:b/>
          <w:color w:val="9C8B7E"/>
          <w:sz w:val="26"/>
        </w:rPr>
        <w:t xml:space="preserve">02   </w:t>
      </w:r>
      <w:r>
        <w:rPr>
          <w:b/>
          <w:color w:val="3A2E28"/>
          <w:sz w:val="26"/>
        </w:rPr>
        <w:t>Phase 2 · J31 à J60 : prendre son périmètre</w:t>
      </w:r>
    </w:p>
    <w:p>
      <w:pPr>
        <w:keepNext/>
        <w:spacing w:before="160"/>
      </w:pPr>
      <w:r>
        <w:rPr>
          <w:b/>
          <w:color w:val="3A2E28"/>
          <w:sz w:val="21"/>
        </w:rPr>
        <w:t>Objectifs</w:t>
      </w:r>
    </w:p>
    <w:p>
      <w:pPr>
        <w:pStyle w:val="ListBullet"/>
        <w:spacing w:after="40"/>
      </w:pPr>
      <w:r>
        <w:rPr>
          <w:color w:val="5E4D43"/>
        </w:rPr>
        <w:t>Gérer en autonomie une partie définie du périmètre (familles d'articles, fournisseurs, clients, sites).</w:t>
      </w:r>
    </w:p>
    <w:p>
      <w:pPr>
        <w:pStyle w:val="ListBullet"/>
        <w:spacing w:after="40"/>
      </w:pPr>
      <w:r>
        <w:rPr>
          <w:color w:val="5E4D43"/>
        </w:rPr>
        <w:t>Proposer un premier diagnostic : ce qui fonctionne, ce qui pourrait être amélioré.</w:t>
      </w:r>
    </w:p>
    <w:p>
      <w:pPr>
        <w:pStyle w:val="ListBullet"/>
        <w:spacing w:after="40"/>
      </w:pPr>
      <w:r>
        <w:rPr>
          <w:color w:val="5E4D43"/>
        </w:rPr>
        <w:t>S'intégrer dans les rituels : réunions de production, S&amp;OP, revues fournisseurs.</w:t>
      </w:r>
    </w:p>
    <w:p>
      <w:pPr>
        <w:keepNext/>
        <w:spacing w:before="160"/>
      </w:pPr>
      <w:r>
        <w:rPr>
          <w:b/>
          <w:color w:val="3A2E28"/>
          <w:sz w:val="21"/>
        </w:rPr>
        <w:t>Actions</w:t>
      </w:r>
    </w:p>
    <w:tbl>
      <w:tblPr>
        <w:jc w:val="center"/>
        <w:tblLook w:firstColumn="1" w:firstRow="1" w:lastColumn="0" w:lastRow="0" w:noHBand="0" w:noVBand="1" w:val="04A0"/>
        <w:tblBorders>
          <w:top w:val="single" w:sz="4" w:color="D9D0C8"/>
          <w:left w:val="single" w:sz="4" w:color="D9D0C8"/>
          <w:bottom w:val="single" w:sz="4" w:color="D9D0C8"/>
          <w:right w:val="single" w:sz="4" w:color="D9D0C8"/>
          <w:insideH w:val="single" w:sz="4" w:color="D9D0C8"/>
          <w:insideV w:val="single" w:sz="4" w:color="D9D0C8"/>
        </w:tblBorders>
        <w:tblW w:w="9412" w:type="dxa"/>
        <w:tblLayout w:type="fixed"/>
      </w:tblPr>
      <w:tblGrid>
        <w:gridCol w:w="4876"/>
        <w:gridCol w:w="2041"/>
        <w:gridCol w:w="1701"/>
        <w:gridCol w:w="793"/>
      </w:tblGrid>
      <w:tr>
        <w:trPr>
          <w:tblHeader w:val="true"/>
        </w:trPr>
        <w:tc>
          <w:tcPr>
            <w:tcW w:type="dxa" w:w="4876"/>
            <w:shd w:val="clear" w:color="auto" w:fill="F4EFEA"/>
            <w:tcMar>
              <w:top w:w="100" w:type="dxa"/>
              <w:bottom w:w="100" w:type="dxa"/>
              <w:start w:w="140" w:type="dxa"/>
              <w:end w:w="140" w:type="dxa"/>
              <w:left w:w="140" w:type="dxa"/>
              <w:right w:w="140" w:type="dxa"/>
            </w:tcMar>
          </w:tcPr>
          <w:p>
            <w:pPr>
              <w:spacing w:after="40"/>
            </w:pPr>
            <w:r/>
            <w:r>
              <w:rPr>
                <w:b/>
                <w:i w:val="0"/>
                <w:color w:val="3A2E28"/>
                <w:sz w:val="18"/>
              </w:rPr>
              <w:t>Action</w:t>
            </w:r>
          </w:p>
        </w:tc>
        <w:tc>
          <w:tcPr>
            <w:tcW w:type="dxa" w:w="2041"/>
            <w:shd w:val="clear" w:color="auto" w:fill="F4EFEA"/>
            <w:tcMar>
              <w:top w:w="100" w:type="dxa"/>
              <w:bottom w:w="100" w:type="dxa"/>
              <w:start w:w="140" w:type="dxa"/>
              <w:end w:w="140" w:type="dxa"/>
              <w:left w:w="140" w:type="dxa"/>
              <w:right w:w="140" w:type="dxa"/>
            </w:tcMar>
          </w:tcPr>
          <w:p>
            <w:pPr>
              <w:spacing w:after="40"/>
            </w:pPr>
            <w:r/>
            <w:r>
              <w:rPr>
                <w:b/>
                <w:i w:val="0"/>
                <w:color w:val="3A2E28"/>
                <w:sz w:val="18"/>
              </w:rPr>
              <w:t>Responsable</w:t>
            </w:r>
          </w:p>
        </w:tc>
        <w:tc>
          <w:tcPr>
            <w:tcW w:type="dxa" w:w="1701"/>
            <w:shd w:val="clear" w:color="auto" w:fill="F4EFEA"/>
            <w:tcMar>
              <w:top w:w="100" w:type="dxa"/>
              <w:bottom w:w="100" w:type="dxa"/>
              <w:start w:w="140" w:type="dxa"/>
              <w:end w:w="140" w:type="dxa"/>
              <w:left w:w="140" w:type="dxa"/>
              <w:right w:w="140" w:type="dxa"/>
            </w:tcMar>
          </w:tcPr>
          <w:p>
            <w:pPr>
              <w:spacing w:after="40"/>
            </w:pPr>
            <w:r/>
            <w:r>
              <w:rPr>
                <w:b/>
                <w:i w:val="0"/>
                <w:color w:val="3A2E28"/>
                <w:sz w:val="18"/>
              </w:rPr>
              <w:t>Quand</w:t>
            </w:r>
          </w:p>
        </w:tc>
        <w:tc>
          <w:tcPr>
            <w:tcW w:type="dxa" w:w="794"/>
            <w:shd w:val="clear" w:color="auto" w:fill="F4EFEA"/>
            <w:tcMar>
              <w:top w:w="100" w:type="dxa"/>
              <w:bottom w:w="100" w:type="dxa"/>
              <w:start w:w="140" w:type="dxa"/>
              <w:end w:w="140" w:type="dxa"/>
              <w:left w:w="140" w:type="dxa"/>
              <w:right w:w="140" w:type="dxa"/>
            </w:tcMar>
          </w:tcPr>
          <w:p>
            <w:pPr>
              <w:spacing w:after="40"/>
            </w:pPr>
            <w:r/>
            <w:r>
              <w:rPr>
                <w:b/>
                <w:i w:val="0"/>
                <w:color w:val="3A2E28"/>
                <w:sz w:val="18"/>
              </w:rPr>
              <w:t>Fait</w:t>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Transfert progressif du périmètre, avec validation des décisions clés</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Manager</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Semaines 5 et 6</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Participation active aux réunions de flux et de planification</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Nouvel arrivant</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Hebdomadaire</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Premières rencontres fournisseurs ou transporteurs</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Nouvel arrivant et manager</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Semaines 6 à 8</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Rédaction d'un diagnostic court sur le périmètre</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Nouvel arrivant</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 8</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bl>
    <w:p>
      <w:pPr>
        <w:spacing w:after="0"/>
      </w:pPr>
    </w:p>
    <w:tbl>
      <w:tblPr>
        <w:jc w:val="center"/>
        <w:tblLook w:firstColumn="1" w:firstRow="1" w:lastColumn="0" w:lastRow="0" w:noHBand="0" w:noVBand="1" w:val="04A0"/>
        <w:tblBorders>
          <w:top w:val="single" w:sz="4" w:color="9C8B7E"/>
          <w:left w:val="single" w:sz="4" w:color="9C8B7E"/>
          <w:bottom w:val="single" w:sz="4" w:color="9C8B7E"/>
          <w:right w:val="single" w:sz="4" w:color="9C8B7E"/>
          <w:insideH w:val="nil"/>
          <w:insideV w:val="nil"/>
        </w:tblBorders>
        <w:tblW w:w="9412" w:type="dxa"/>
        <w:tblLayout w:type="fixed"/>
      </w:tblPr>
      <w:tblGrid>
        <w:gridCol w:w="9412"/>
      </w:tblGrid>
      <w:tr>
        <w:tc>
          <w:tcPr>
            <w:tcW w:type="dxa" w:w="9411"/>
            <w:shd w:val="clear" w:color="auto" w:fill="F4EFEA"/>
            <w:tcMar>
              <w:top w:w="200" w:type="dxa"/>
              <w:bottom w:w="200" w:type="dxa"/>
              <w:start w:w="260" w:type="dxa"/>
              <w:end w:w="260" w:type="dxa"/>
              <w:left w:w="260" w:type="dxa"/>
              <w:right w:w="260" w:type="dxa"/>
            </w:tcMar>
          </w:tcPr>
          <w:p>
            <w:r/>
            <w:r>
              <w:rPr>
                <w:b/>
                <w:color w:val="3A2E28"/>
                <w:sz w:val="19"/>
              </w:rPr>
              <w:t>Point d'étape à J60 : autonomie sur le périmètre, présentation du diagnostic, ajustement des objectifs.</w:t>
            </w:r>
          </w:p>
          <w:p>
            <w:pPr>
              <w:spacing w:before="120"/>
            </w:pPr>
            <w:r>
              <w:rPr>
                <w:color w:val="5E4D43"/>
                <w:sz w:val="18"/>
              </w:rPr>
              <w:t>Date : ..................     Notes : ......................................................................................</w:t>
            </w:r>
          </w:p>
        </w:tc>
      </w:tr>
    </w:tbl>
    <w:p/>
    <w:p>
      <w:pPr>
        <w:keepNext/>
        <w:spacing w:before="280" w:after="80"/>
        <w:pBdr>
          <w:bottom w:val="single" w:sz="4" w:space="3" w:color="9C8B7E"/>
        </w:pBdr>
      </w:pPr>
      <w:r>
        <w:rPr>
          <w:b/>
          <w:color w:val="9C8B7E"/>
          <w:sz w:val="26"/>
        </w:rPr>
        <w:t xml:space="preserve">03   </w:t>
      </w:r>
      <w:r>
        <w:rPr>
          <w:b/>
          <w:color w:val="3A2E28"/>
          <w:sz w:val="26"/>
        </w:rPr>
        <w:t>Phase 3 · J61 à J90 : contribuer et s'engager</w:t>
      </w:r>
    </w:p>
    <w:p>
      <w:pPr>
        <w:keepNext/>
        <w:spacing w:before="160"/>
      </w:pPr>
      <w:r>
        <w:rPr>
          <w:b/>
          <w:color w:val="3A2E28"/>
          <w:sz w:val="21"/>
        </w:rPr>
        <w:t>Objectifs</w:t>
      </w:r>
    </w:p>
    <w:p>
      <w:pPr>
        <w:pStyle w:val="ListBullet"/>
        <w:spacing w:after="40"/>
      </w:pPr>
      <w:r>
        <w:rPr>
          <w:color w:val="5E4D43"/>
        </w:rPr>
        <w:t>Tenir l'ensemble du périmètre avec un niveau de service stable.</w:t>
      </w:r>
    </w:p>
    <w:p>
      <w:pPr>
        <w:pStyle w:val="ListBullet"/>
        <w:spacing w:after="40"/>
      </w:pPr>
      <w:r>
        <w:rPr>
          <w:color w:val="5E4D43"/>
        </w:rPr>
        <w:t>Lancer une première action d'amélioration à partir du diagnostic.</w:t>
      </w:r>
    </w:p>
    <w:p>
      <w:pPr>
        <w:pStyle w:val="ListBullet"/>
        <w:spacing w:after="40"/>
      </w:pPr>
      <w:r>
        <w:rPr>
          <w:color w:val="5E4D43"/>
        </w:rPr>
        <w:t>Fixer les objectifs des six mois suivants.</w:t>
      </w:r>
    </w:p>
    <w:p>
      <w:pPr>
        <w:keepNext/>
        <w:spacing w:before="160"/>
      </w:pPr>
      <w:r>
        <w:rPr>
          <w:b/>
          <w:color w:val="3A2E28"/>
          <w:sz w:val="21"/>
        </w:rPr>
        <w:t>Actions</w:t>
      </w:r>
    </w:p>
    <w:tbl>
      <w:tblPr>
        <w:jc w:val="center"/>
        <w:tblLook w:firstColumn="1" w:firstRow="1" w:lastColumn="0" w:lastRow="0" w:noHBand="0" w:noVBand="1" w:val="04A0"/>
        <w:tblBorders>
          <w:top w:val="single" w:sz="4" w:color="D9D0C8"/>
          <w:left w:val="single" w:sz="4" w:color="D9D0C8"/>
          <w:bottom w:val="single" w:sz="4" w:color="D9D0C8"/>
          <w:right w:val="single" w:sz="4" w:color="D9D0C8"/>
          <w:insideH w:val="single" w:sz="4" w:color="D9D0C8"/>
          <w:insideV w:val="single" w:sz="4" w:color="D9D0C8"/>
        </w:tblBorders>
        <w:tblW w:w="9412" w:type="dxa"/>
        <w:tblLayout w:type="fixed"/>
      </w:tblPr>
      <w:tblGrid>
        <w:gridCol w:w="4876"/>
        <w:gridCol w:w="2041"/>
        <w:gridCol w:w="1701"/>
        <w:gridCol w:w="793"/>
      </w:tblGrid>
      <w:tr>
        <w:trPr>
          <w:tblHeader w:val="true"/>
        </w:trPr>
        <w:tc>
          <w:tcPr>
            <w:tcW w:type="dxa" w:w="4876"/>
            <w:shd w:val="clear" w:color="auto" w:fill="F4EFEA"/>
            <w:tcMar>
              <w:top w:w="100" w:type="dxa"/>
              <w:bottom w:w="100" w:type="dxa"/>
              <w:start w:w="140" w:type="dxa"/>
              <w:end w:w="140" w:type="dxa"/>
              <w:left w:w="140" w:type="dxa"/>
              <w:right w:w="140" w:type="dxa"/>
            </w:tcMar>
          </w:tcPr>
          <w:p>
            <w:pPr>
              <w:spacing w:after="40"/>
            </w:pPr>
            <w:r/>
            <w:r>
              <w:rPr>
                <w:b/>
                <w:i w:val="0"/>
                <w:color w:val="3A2E28"/>
                <w:sz w:val="18"/>
              </w:rPr>
              <w:t>Action</w:t>
            </w:r>
          </w:p>
        </w:tc>
        <w:tc>
          <w:tcPr>
            <w:tcW w:type="dxa" w:w="2041"/>
            <w:shd w:val="clear" w:color="auto" w:fill="F4EFEA"/>
            <w:tcMar>
              <w:top w:w="100" w:type="dxa"/>
              <w:bottom w:w="100" w:type="dxa"/>
              <w:start w:w="140" w:type="dxa"/>
              <w:end w:w="140" w:type="dxa"/>
              <w:left w:w="140" w:type="dxa"/>
              <w:right w:w="140" w:type="dxa"/>
            </w:tcMar>
          </w:tcPr>
          <w:p>
            <w:pPr>
              <w:spacing w:after="40"/>
            </w:pPr>
            <w:r/>
            <w:r>
              <w:rPr>
                <w:b/>
                <w:i w:val="0"/>
                <w:color w:val="3A2E28"/>
                <w:sz w:val="18"/>
              </w:rPr>
              <w:t>Responsable</w:t>
            </w:r>
          </w:p>
        </w:tc>
        <w:tc>
          <w:tcPr>
            <w:tcW w:type="dxa" w:w="1701"/>
            <w:shd w:val="clear" w:color="auto" w:fill="F4EFEA"/>
            <w:tcMar>
              <w:top w:w="100" w:type="dxa"/>
              <w:bottom w:w="100" w:type="dxa"/>
              <w:start w:w="140" w:type="dxa"/>
              <w:end w:w="140" w:type="dxa"/>
              <w:left w:w="140" w:type="dxa"/>
              <w:right w:w="140" w:type="dxa"/>
            </w:tcMar>
          </w:tcPr>
          <w:p>
            <w:pPr>
              <w:spacing w:after="40"/>
            </w:pPr>
            <w:r/>
            <w:r>
              <w:rPr>
                <w:b/>
                <w:i w:val="0"/>
                <w:color w:val="3A2E28"/>
                <w:sz w:val="18"/>
              </w:rPr>
              <w:t>Quand</w:t>
            </w:r>
          </w:p>
        </w:tc>
        <w:tc>
          <w:tcPr>
            <w:tcW w:type="dxa" w:w="794"/>
            <w:shd w:val="clear" w:color="auto" w:fill="F4EFEA"/>
            <w:tcMar>
              <w:top w:w="100" w:type="dxa"/>
              <w:bottom w:w="100" w:type="dxa"/>
              <w:start w:w="140" w:type="dxa"/>
              <w:end w:w="140" w:type="dxa"/>
              <w:left w:w="140" w:type="dxa"/>
              <w:right w:w="140" w:type="dxa"/>
            </w:tcMar>
          </w:tcPr>
          <w:p>
            <w:pPr>
              <w:spacing w:after="40"/>
            </w:pPr>
            <w:r/>
            <w:r>
              <w:rPr>
                <w:b/>
                <w:i w:val="0"/>
                <w:color w:val="3A2E28"/>
                <w:sz w:val="18"/>
              </w:rPr>
              <w:t>Fait</w:t>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Prise en charge complète du périmètre et des indicateurs associés</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Nouvel arrivant</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Semaines 9 à 13</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Pilotage d'une action d'amélioration ciblée</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Nouvel arrivant</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Semaines 9 à 13</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Retour croisé : parrain, services en interface, manager</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Manager</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 12</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r>
        <w:trPr>
          <w:cantSplit w:val="true"/>
        </w:trPr>
        <w:tc>
          <w:tcPr>
            <w:tcW w:type="dxa" w:w="4876"/>
            <w:tcMar>
              <w:top w:w="100" w:type="dxa"/>
              <w:bottom w:w="100" w:type="dxa"/>
              <w:start w:w="140" w:type="dxa"/>
              <w:end w:w="140" w:type="dxa"/>
              <w:left w:w="140" w:type="dxa"/>
              <w:right w:w="140" w:type="dxa"/>
            </w:tcMar>
          </w:tcPr>
          <w:p>
            <w:pPr>
              <w:spacing w:after="40"/>
            </w:pPr>
            <w:r/>
            <w:r>
              <w:rPr>
                <w:b w:val="0"/>
                <w:i w:val="0"/>
                <w:color w:val="5E4D43"/>
                <w:sz w:val="18"/>
              </w:rPr>
              <w:t>Bilan de fin de période d'essai et objectifs à six mois</w:t>
            </w:r>
          </w:p>
        </w:tc>
        <w:tc>
          <w:tcPr>
            <w:tcW w:type="dxa" w:w="2041"/>
            <w:tcMar>
              <w:top w:w="100" w:type="dxa"/>
              <w:bottom w:w="100" w:type="dxa"/>
              <w:start w:w="140" w:type="dxa"/>
              <w:end w:w="140" w:type="dxa"/>
              <w:left w:w="140" w:type="dxa"/>
              <w:right w:w="140" w:type="dxa"/>
            </w:tcMar>
          </w:tcPr>
          <w:p>
            <w:pPr>
              <w:spacing w:after="40"/>
            </w:pPr>
            <w:r/>
            <w:r>
              <w:rPr>
                <w:b w:val="0"/>
                <w:i w:val="0"/>
                <w:color w:val="5E4D43"/>
                <w:sz w:val="18"/>
              </w:rPr>
              <w:t>Manager et RH</w:t>
            </w:r>
          </w:p>
        </w:tc>
        <w:tc>
          <w:tcPr>
            <w:tcW w:type="dxa" w:w="1701"/>
            <w:tcMar>
              <w:top w:w="100" w:type="dxa"/>
              <w:bottom w:w="100" w:type="dxa"/>
              <w:start w:w="140" w:type="dxa"/>
              <w:end w:w="140" w:type="dxa"/>
              <w:left w:w="140" w:type="dxa"/>
              <w:right w:w="140" w:type="dxa"/>
            </w:tcMar>
          </w:tcPr>
          <w:p>
            <w:pPr>
              <w:spacing w:after="40"/>
            </w:pPr>
            <w:r/>
            <w:r>
              <w:rPr>
                <w:b w:val="0"/>
                <w:i w:val="0"/>
                <w:color w:val="5E4D43"/>
                <w:sz w:val="18"/>
              </w:rPr>
              <w:t>Semaine 13</w:t>
            </w:r>
          </w:p>
        </w:tc>
        <w:tc>
          <w:tcPr>
            <w:tcW w:type="dxa" w:w="794"/>
            <w:tcMar>
              <w:top w:w="100" w:type="dxa"/>
              <w:bottom w:w="100" w:type="dxa"/>
              <w:start w:w="140" w:type="dxa"/>
              <w:end w:w="140" w:type="dxa"/>
              <w:left w:w="140" w:type="dxa"/>
              <w:right w:w="140" w:type="dxa"/>
            </w:tcMar>
          </w:tcPr>
          <w:p>
            <w:pPr>
              <w:spacing w:after="40"/>
            </w:pPr>
            <w:r/>
            <w:r>
              <w:rPr>
                <w:b w:val="0"/>
                <w:i w:val="0"/>
                <w:color w:val="5E4D43"/>
                <w:sz w:val="18"/>
              </w:rPr>
            </w:r>
          </w:p>
        </w:tc>
      </w:tr>
    </w:tbl>
    <w:p>
      <w:pPr>
        <w:spacing w:after="0"/>
      </w:pPr>
    </w:p>
    <w:tbl>
      <w:tblPr>
        <w:jc w:val="center"/>
        <w:tblLook w:firstColumn="1" w:firstRow="1" w:lastColumn="0" w:lastRow="0" w:noHBand="0" w:noVBand="1" w:val="04A0"/>
        <w:tblBorders>
          <w:top w:val="single" w:sz="4" w:color="9C8B7E"/>
          <w:left w:val="single" w:sz="4" w:color="9C8B7E"/>
          <w:bottom w:val="single" w:sz="4" w:color="9C8B7E"/>
          <w:right w:val="single" w:sz="4" w:color="9C8B7E"/>
          <w:insideH w:val="nil"/>
          <w:insideV w:val="nil"/>
        </w:tblBorders>
        <w:tblW w:w="9412" w:type="dxa"/>
        <w:tblLayout w:type="fixed"/>
      </w:tblPr>
      <w:tblGrid>
        <w:gridCol w:w="9412"/>
      </w:tblGrid>
      <w:tr>
        <w:tc>
          <w:tcPr>
            <w:tcW w:type="dxa" w:w="9411"/>
            <w:shd w:val="clear" w:color="auto" w:fill="F4EFEA"/>
            <w:tcMar>
              <w:top w:w="200" w:type="dxa"/>
              <w:bottom w:w="200" w:type="dxa"/>
              <w:start w:w="260" w:type="dxa"/>
              <w:end w:w="260" w:type="dxa"/>
              <w:left w:w="260" w:type="dxa"/>
              <w:right w:w="260" w:type="dxa"/>
            </w:tcMar>
          </w:tcPr>
          <w:p>
            <w:r/>
            <w:r>
              <w:rPr>
                <w:b/>
                <w:color w:val="3A2E28"/>
                <w:sz w:val="19"/>
              </w:rPr>
              <w:t>Point d'étape à J90 : bilan partagé, confirmation de la période d'essai, objectifs et plan de développement.</w:t>
            </w:r>
          </w:p>
          <w:p>
            <w:pPr>
              <w:spacing w:before="120"/>
            </w:pPr>
            <w:r>
              <w:rPr>
                <w:color w:val="5E4D43"/>
                <w:sz w:val="18"/>
              </w:rPr>
              <w:t>Date : ..................     Notes : ......................................................................................</w:t>
            </w:r>
          </w:p>
        </w:tc>
      </w:tr>
    </w:tbl>
    <w:p/>
    <w:p>
      <w:pPr>
        <w:pageBreakBefore/>
      </w:pPr>
    </w:p>
    <w:p>
      <w:pPr>
        <w:keepNext/>
        <w:spacing w:before="280" w:after="80"/>
        <w:pBdr>
          <w:bottom w:val="single" w:sz="4" w:space="3" w:color="9C8B7E"/>
        </w:pBdr>
      </w:pPr>
      <w:r>
        <w:rPr>
          <w:b/>
          <w:color w:val="9C8B7E"/>
          <w:sz w:val="26"/>
        </w:rPr>
        <w:t xml:space="preserve">04   </w:t>
      </w:r>
      <w:r>
        <w:rPr>
          <w:b/>
          <w:color w:val="3A2E28"/>
          <w:sz w:val="26"/>
        </w:rPr>
        <w:t>Check-list du premier jour</w:t>
      </w:r>
    </w:p>
    <w:p>
      <w:pPr>
        <w:keepNext/>
      </w:pPr>
      <w:r>
        <w:rPr>
          <w:i/>
          <w:color w:val="9C8B7E"/>
          <w:sz w:val="18"/>
        </w:rPr>
        <w:t>Cochez au fil de la journée.</w:t>
      </w:r>
    </w:p>
    <w:p>
      <w:pPr>
        <w:spacing w:after="100"/>
      </w:pPr>
      <w:r>
        <w:rPr>
          <w:color w:val="5E4D43"/>
        </w:rPr>
        <w:t>☐   Accueil par le manager à l'heure convenue, café et présentation du programme.</w:t>
      </w:r>
    </w:p>
    <w:p>
      <w:pPr>
        <w:spacing w:after="100"/>
      </w:pPr>
      <w:r>
        <w:rPr>
          <w:color w:val="5E4D43"/>
        </w:rPr>
        <w:t>☐   Remise du badge, des équipements de sécurité et du matériel informatique.</w:t>
      </w:r>
    </w:p>
    <w:p>
      <w:pPr>
        <w:spacing w:after="100"/>
      </w:pPr>
      <w:r>
        <w:rPr>
          <w:color w:val="5E4D43"/>
        </w:rPr>
        <w:t>☐   Accès ouverts : messagerie, ERP, dossiers partagés, outils métier.</w:t>
      </w:r>
    </w:p>
    <w:p>
      <w:pPr>
        <w:spacing w:after="100"/>
      </w:pPr>
      <w:r>
        <w:rPr>
          <w:color w:val="5E4D43"/>
        </w:rPr>
        <w:t>☐   Présentation à l'équipe et au parrain ou à la marraine.</w:t>
      </w:r>
    </w:p>
    <w:p>
      <w:pPr>
        <w:spacing w:after="100"/>
      </w:pPr>
      <w:r>
        <w:rPr>
          <w:color w:val="5E4D43"/>
        </w:rPr>
        <w:t>☐   Tour du site et consignes de sécurité.</w:t>
      </w:r>
    </w:p>
    <w:p>
      <w:pPr>
        <w:spacing w:after="100"/>
      </w:pPr>
      <w:r>
        <w:rPr>
          <w:color w:val="5E4D43"/>
        </w:rPr>
        <w:t>☐   Déjeuner avec l'équipe ou le manager.</w:t>
      </w:r>
    </w:p>
    <w:p>
      <w:pPr>
        <w:spacing w:after="100"/>
      </w:pPr>
      <w:r>
        <w:rPr>
          <w:color w:val="5E4D43"/>
        </w:rPr>
        <w:t>☐   Remise du plan d'intégration 90 jours et des premiers documents utiles.</w:t>
      </w:r>
    </w:p>
    <w:p>
      <w:pPr>
        <w:spacing w:after="100"/>
      </w:pPr>
      <w:r>
        <w:rPr>
          <w:color w:val="5E4D43"/>
        </w:rPr>
        <w:t>☐   Point de fin de journée : premières questions, programme du lendemain.</w:t>
      </w:r>
    </w:p>
    <w:p>
      <w:pPr>
        <w:keepNext/>
        <w:spacing w:before="280" w:after="80"/>
        <w:pBdr>
          <w:bottom w:val="single" w:sz="4" w:space="3" w:color="9C8B7E"/>
        </w:pBdr>
      </w:pPr>
      <w:r>
        <w:rPr>
          <w:b/>
          <w:color w:val="9C8B7E"/>
          <w:sz w:val="26"/>
        </w:rPr>
        <w:t xml:space="preserve">05   </w:t>
      </w:r>
      <w:r>
        <w:rPr>
          <w:b/>
          <w:color w:val="3A2E28"/>
          <w:sz w:val="26"/>
        </w:rPr>
        <w:t>Check-list de la première semaine</w:t>
      </w:r>
    </w:p>
    <w:p>
      <w:pPr>
        <w:spacing w:after="100"/>
      </w:pPr>
      <w:r>
        <w:rPr>
          <w:color w:val="5E4D43"/>
        </w:rPr>
        <w:t>☐   Rencontre de chaque service en interface : production, achats, ADV, magasin, transport, qualité.</w:t>
      </w:r>
    </w:p>
    <w:p>
      <w:pPr>
        <w:spacing w:after="100"/>
      </w:pPr>
      <w:r>
        <w:rPr>
          <w:color w:val="5E4D43"/>
        </w:rPr>
        <w:t>☐   Première formation ERP et premières manipulations accompagnées.</w:t>
      </w:r>
    </w:p>
    <w:p>
      <w:pPr>
        <w:spacing w:after="100"/>
      </w:pPr>
      <w:r>
        <w:rPr>
          <w:color w:val="5E4D43"/>
        </w:rPr>
        <w:t>☐   Présentation des indicateurs suivis et des réunions récurrentes.</w:t>
      </w:r>
    </w:p>
    <w:p>
      <w:pPr>
        <w:spacing w:after="100"/>
      </w:pPr>
      <w:r>
        <w:rPr>
          <w:color w:val="5E4D43"/>
        </w:rPr>
        <w:t>☐   Participation à au moins une réunion de flux ou de planification.</w:t>
      </w:r>
    </w:p>
    <w:p>
      <w:pPr>
        <w:spacing w:after="100"/>
      </w:pPr>
      <w:r>
        <w:rPr>
          <w:color w:val="5E4D43"/>
        </w:rPr>
        <w:t>☐   Remise de l'organigramme, des procédures et du lexique interne.</w:t>
      </w:r>
    </w:p>
    <w:p>
      <w:pPr>
        <w:spacing w:after="100"/>
      </w:pPr>
      <w:r>
        <w:rPr>
          <w:color w:val="5E4D43"/>
        </w:rPr>
        <w:t>☐   Point de fin de semaine avec le manager : ressenti, besoins, objectifs de la semaine 2.</w:t>
      </w:r>
    </w:p>
    <w:p/>
    <w:tbl>
      <w:tblPr>
        <w:jc w:val="center"/>
        <w:tblLook w:firstColumn="1" w:firstRow="1" w:lastColumn="0" w:lastRow="0" w:noHBand="0" w:noVBand="1" w:val="04A0"/>
        <w:tblBorders>
          <w:top w:val="single" w:sz="4" w:color="9C8B7E"/>
          <w:left w:val="single" w:sz="4" w:color="9C8B7E"/>
          <w:bottom w:val="single" w:sz="4" w:color="9C8B7E"/>
          <w:right w:val="single" w:sz="4" w:color="9C8B7E"/>
          <w:insideH w:val="nil"/>
          <w:insideV w:val="nil"/>
        </w:tblBorders>
        <w:tblW w:w="9412" w:type="dxa"/>
        <w:tblLayout w:type="fixed"/>
      </w:tblPr>
      <w:tblGrid>
        <w:gridCol w:w="9412"/>
      </w:tblGrid>
      <w:tr>
        <w:tc>
          <w:tcPr>
            <w:tcW w:type="dxa" w:w="9411"/>
            <w:shd w:val="clear" w:color="auto" w:fill="F4EFEA"/>
            <w:tcMar>
              <w:top w:w="200" w:type="dxa"/>
              <w:bottom w:w="200" w:type="dxa"/>
              <w:start w:w="260" w:type="dxa"/>
              <w:end w:w="260" w:type="dxa"/>
              <w:left w:w="260" w:type="dxa"/>
              <w:right w:w="260" w:type="dxa"/>
            </w:tcMar>
          </w:tcPr>
          <w:p>
            <w:r/>
            <w:r>
              <w:rPr>
                <w:b/>
                <w:color w:val="3A2E28"/>
              </w:rPr>
              <w:t>Le conseil Floor Hunting</w:t>
            </w:r>
          </w:p>
          <w:p>
            <w:r>
              <w:rPr>
                <w:color w:val="5E4D43"/>
                <w:sz w:val="19"/>
              </w:rPr>
              <w:t>Gardez les trois points d'étape dans l'agenda, même quand tout semble bien se passer. Ce sont souvent ces moments qui font remonter un doute avant qu'il ne devienne un départ.</w:t>
            </w:r>
          </w:p>
        </w:tc>
      </w:tr>
    </w:tbl>
    <w:p/>
    <w:sectPr w:rsidR="00FC693F" w:rsidRPr="0006063C" w:rsidSect="00034616">
      <w:footerReference w:type="default" r:id="rId9"/>
      <w:pgSz w:w="11906" w:h="16838"/>
      <w:pgMar w:top="1020"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9C8B7E"/>
        <w:sz w:val="16"/>
      </w:rPr>
      <w:t>Floor Hunting · Recrutement supply chain · floor-hunting.fr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5E4D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